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iCs/>
          <w:color w:val="auto"/>
          <w:spacing w:val="0"/>
          <w:sz w:val="16"/>
          <w:szCs w:val="20"/>
        </w:rPr>
        <w:id w:val="927544969"/>
        <w:docPartObj>
          <w:docPartGallery w:val="Cover Pages"/>
          <w:docPartUnique/>
        </w:docPartObj>
      </w:sdtPr>
      <w:sdtEndPr>
        <w:rPr>
          <w:iCs w:val="0"/>
        </w:rPr>
      </w:sdtEndPr>
      <w:sdtContent>
        <w:bookmarkStart w:id="0" w:name="_Toc150521075" w:displacedByCustomXml="prev"/>
        <w:p w14:paraId="525EC690" w14:textId="560DA3FA" w:rsidR="00DC67E1" w:rsidRPr="00DC67E1" w:rsidRDefault="00DC67E1" w:rsidP="00DC67E1">
          <w:pPr>
            <w:pStyle w:val="Reporttitle"/>
          </w:pPr>
          <w:r w:rsidRPr="00DC67E1">
            <w:t>Employment behaviour of firms reliant on temporary migrants</w:t>
          </w:r>
        </w:p>
        <w:bookmarkEnd w:id="0"/>
        <w:p w14:paraId="7C3F1007" w14:textId="53F182B3" w:rsidR="00E4495E" w:rsidRDefault="003156B4" w:rsidP="003156B4">
          <w:pPr>
            <w:pStyle w:val="Authornameunderlined"/>
          </w:pPr>
          <w:r>
            <w:t xml:space="preserve">Prepared by </w:t>
          </w:r>
          <w:r w:rsidRPr="003156B4">
            <w:t>Phillip Womack</w:t>
          </w:r>
          <w:r w:rsidRPr="003156B4">
            <w:rPr>
              <w:vertAlign w:val="superscript"/>
            </w:rPr>
            <w:footnoteReference w:id="2"/>
          </w:r>
        </w:p>
        <w:tbl>
          <w:tblPr>
            <w:tblpPr w:leftFromText="181" w:rightFromText="181" w:vertAnchor="text" w:horzAnchor="margin" w:tblpY="143"/>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5329CC" w:rsidRPr="005329CC" w14:paraId="6CE5948C" w14:textId="77777777">
            <w:tc>
              <w:tcPr>
                <w:tcW w:w="5000" w:type="pct"/>
                <w:shd w:val="clear" w:color="auto" w:fill="FCEEE5" w:themeFill="accent6" w:themeFillTint="33"/>
              </w:tcPr>
              <w:p w14:paraId="6E2FB192" w14:textId="77777777" w:rsidR="005329CC" w:rsidRPr="00383459" w:rsidRDefault="005329CC" w:rsidP="005329CC">
                <w:pPr>
                  <w:pStyle w:val="BoxHeading"/>
                </w:pPr>
                <w:r>
                  <w:t>Summary</w:t>
                </w:r>
              </w:p>
              <w:p w14:paraId="36BC16B7" w14:textId="6A1868D2" w:rsidR="005329CC" w:rsidRPr="00903138" w:rsidRDefault="005329CC" w:rsidP="0066678A">
                <w:pPr>
                  <w:pStyle w:val="BoxText"/>
                </w:pPr>
                <w:r w:rsidRPr="00903138">
                  <w:t>Australia’s international border closure led to a 25</w:t>
                </w:r>
                <w:r w:rsidR="004541B3">
                  <w:t> per cent</w:t>
                </w:r>
                <w:r w:rsidRPr="00903138">
                  <w:t xml:space="preserve"> decline in the number of temporary migrants in Australia. </w:t>
                </w:r>
                <w:r w:rsidR="00E66068">
                  <w:t xml:space="preserve">This article uses </w:t>
                </w:r>
                <w:r w:rsidRPr="00903138">
                  <w:t>Single Touch Payroll (STP) and visa data</w:t>
                </w:r>
                <w:r w:rsidR="00277865">
                  <w:t xml:space="preserve"> from February 2020 through to December 2022</w:t>
                </w:r>
                <w:r w:rsidRPr="00903138">
                  <w:t xml:space="preserve"> to </w:t>
                </w:r>
                <w:r w:rsidR="00E66068">
                  <w:t>show</w:t>
                </w:r>
                <w:r w:rsidR="00E66068" w:rsidRPr="00903138">
                  <w:t xml:space="preserve"> </w:t>
                </w:r>
                <w:r w:rsidRPr="00903138">
                  <w:t xml:space="preserve">that firms with higher temporary migrant workforce shares experienced greater initial declines in jobs following the </w:t>
                </w:r>
                <w:r w:rsidR="00D52846">
                  <w:t>COVID</w:t>
                </w:r>
                <w:r w:rsidR="00D52846">
                  <w:noBreakHyphen/>
                  <w:t>19</w:t>
                </w:r>
                <w:r w:rsidRPr="00903138" w:rsidDel="00D52846">
                  <w:t xml:space="preserve"> </w:t>
                </w:r>
                <w:r w:rsidRPr="00903138">
                  <w:t xml:space="preserve">shock and recovered more slowly. This trend is </w:t>
                </w:r>
                <w:r w:rsidR="00E66068">
                  <w:t xml:space="preserve">only </w:t>
                </w:r>
                <w:r w:rsidRPr="00903138">
                  <w:t xml:space="preserve">partially explained by industry and regional exposure to lockdowns. Sectors significantly affected included accommodation and food services, administrative services (such as building cleaning) and some retail segments (such as fuel). These industries were highly impacted by lockdowns and also </w:t>
                </w:r>
                <w:r w:rsidR="002946D9" w:rsidRPr="00903138">
                  <w:t>rel</w:t>
                </w:r>
                <w:r w:rsidR="002946D9">
                  <w:t>ied</w:t>
                </w:r>
                <w:r w:rsidR="002946D9" w:rsidRPr="00903138">
                  <w:t xml:space="preserve"> </w:t>
                </w:r>
                <w:r w:rsidRPr="00903138">
                  <w:t>on temporary migrants for more than 10</w:t>
                </w:r>
                <w:r w:rsidR="004541B3">
                  <w:t> per cent </w:t>
                </w:r>
                <w:r w:rsidRPr="00903138">
                  <w:t xml:space="preserve">of their workforces. </w:t>
                </w:r>
                <w:r w:rsidR="00164C05">
                  <w:t>E</w:t>
                </w:r>
                <w:r w:rsidRPr="00903138">
                  <w:t>ven when comparing firms in the same industry and region, firms that were more reliant on temporary migrants faced bigger declines in employment and took longer to recover.</w:t>
                </w:r>
              </w:p>
              <w:p w14:paraId="68C03AE0" w14:textId="4A40C460" w:rsidR="005329CC" w:rsidRPr="00903138" w:rsidRDefault="005329CC" w:rsidP="0066678A">
                <w:pPr>
                  <w:pStyle w:val="BoxText"/>
                </w:pPr>
                <w:r w:rsidRPr="00903138">
                  <w:t>Firms adjusted by finding alternative sources of labour</w:t>
                </w:r>
                <w:r w:rsidR="00FA2722">
                  <w:t xml:space="preserve"> and</w:t>
                </w:r>
                <w:r w:rsidR="00BB4409">
                  <w:t xml:space="preserve"> using labour more intensively</w:t>
                </w:r>
                <w:r w:rsidRPr="00903138">
                  <w:t>. Firms with high reliance on temporary migrants increase</w:t>
                </w:r>
                <w:r w:rsidR="00CD1880">
                  <w:t>d</w:t>
                </w:r>
                <w:r w:rsidRPr="00903138">
                  <w:t xml:space="preserve"> employment of other workers, partially offsetting the declines in the number of temporary migrants. Increases in monthly average pay were observed, likely driven by increases in hours worked but also </w:t>
                </w:r>
                <w:r w:rsidR="008A2D8B">
                  <w:t>potentially</w:t>
                </w:r>
                <w:r w:rsidRPr="00903138">
                  <w:t xml:space="preserve"> increased hourly wages. These increases were more significant for temporary migrant workers, who continue</w:t>
                </w:r>
                <w:r w:rsidR="00727C70">
                  <w:t>d</w:t>
                </w:r>
                <w:r w:rsidRPr="00903138">
                  <w:t xml:space="preserve"> to have lower </w:t>
                </w:r>
                <w:r w:rsidR="0029483E">
                  <w:t>average</w:t>
                </w:r>
                <w:r w:rsidR="0029483E" w:rsidRPr="00903138">
                  <w:t xml:space="preserve"> </w:t>
                </w:r>
                <w:r w:rsidRPr="00903138">
                  <w:t xml:space="preserve">pay than other workers. Once borders opened, employment recovered across all firms and the </w:t>
                </w:r>
                <w:r w:rsidR="001C4EF0">
                  <w:t xml:space="preserve">average </w:t>
                </w:r>
                <w:r w:rsidRPr="00903138">
                  <w:t xml:space="preserve">pay of migrants </w:t>
                </w:r>
                <w:r w:rsidR="007C2146">
                  <w:t>normalised</w:t>
                </w:r>
                <w:r w:rsidR="00EF45EE">
                  <w:t>.</w:t>
                </w:r>
                <w:r w:rsidRPr="00903138">
                  <w:t xml:space="preserve"> </w:t>
                </w:r>
              </w:p>
              <w:p w14:paraId="41B2369A" w14:textId="319F9FC2" w:rsidR="005329CC" w:rsidRPr="005329CC" w:rsidRDefault="005329CC" w:rsidP="0066678A">
                <w:pPr>
                  <w:pStyle w:val="BoxText"/>
                </w:pPr>
                <w:r w:rsidRPr="00903138">
                  <w:t>Finally, greater turnover declines were observed for firms that were highly reliant on temporary migrants, suggesting these firms struggled to adjust to lower supply of temporary migrants. All firms have responded since borders reopened by hiring more temporary migrants with the average pay of domestic workers increasing by more than temporary migrants.</w:t>
                </w:r>
              </w:p>
            </w:tc>
          </w:tr>
        </w:tbl>
        <w:p w14:paraId="2A89EDA4" w14:textId="39F3B8C2" w:rsidR="003C5318" w:rsidRDefault="003B6D6C" w:rsidP="00D715F9">
          <w:pPr>
            <w:pStyle w:val="Heading1Numbered"/>
          </w:pPr>
          <w:bookmarkStart w:id="1" w:name="_Toc150767961"/>
          <w:r>
            <w:lastRenderedPageBreak/>
            <w:t>T</w:t>
          </w:r>
          <w:r w:rsidR="00B05E74" w:rsidRPr="00B05E74">
            <w:t>emporary migrant</w:t>
          </w:r>
          <w:r>
            <w:t xml:space="preserve"> workers</w:t>
          </w:r>
          <w:bookmarkEnd w:id="1"/>
        </w:p>
        <w:p w14:paraId="5144EA68" w14:textId="20B27CD7" w:rsidR="003C5318" w:rsidRDefault="003C5318" w:rsidP="00CC7709">
          <w:pPr>
            <w:pStyle w:val="Heading2Numbered"/>
          </w:pPr>
          <w:bookmarkStart w:id="2" w:name="_Toc150767962"/>
          <w:r>
            <w:t>The prolonged closure of Australia’s international border led to a sharp decline in temporary migrant workers</w:t>
          </w:r>
          <w:bookmarkEnd w:id="2"/>
          <w:r>
            <w:t xml:space="preserve"> </w:t>
          </w:r>
        </w:p>
        <w:p w14:paraId="756B946D" w14:textId="2367070F" w:rsidR="003C5318" w:rsidRPr="00E95D8A" w:rsidRDefault="003C5318" w:rsidP="00BE4A55">
          <w:pPr>
            <w:rPr>
              <w:rStyle w:val="Strong"/>
              <w:b w:val="0"/>
              <w:bCs w:val="0"/>
            </w:rPr>
          </w:pPr>
          <w:r>
            <w:t>The number of temporary migrants in Australia declined by 25</w:t>
          </w:r>
          <w:r w:rsidR="004541B3">
            <w:t> per cent</w:t>
          </w:r>
          <w:r w:rsidR="00D04F9F">
            <w:t xml:space="preserve"> between </w:t>
          </w:r>
          <w:r>
            <w:t xml:space="preserve">March </w:t>
          </w:r>
          <w:r w:rsidRPr="00EF3907">
            <w:t xml:space="preserve">2020 </w:t>
          </w:r>
          <w:r w:rsidR="00D04F9F">
            <w:t>and</w:t>
          </w:r>
          <w:r w:rsidR="001D2832">
            <w:t> </w:t>
          </w:r>
          <w:r>
            <w:t>December</w:t>
          </w:r>
          <w:r w:rsidRPr="00EF3907">
            <w:t xml:space="preserve"> 2021 (</w:t>
          </w:r>
          <w:r w:rsidR="00822949">
            <w:t>Chart</w:t>
          </w:r>
          <w:r>
            <w:t xml:space="preserve"> </w:t>
          </w:r>
          <w:r w:rsidR="008C542D">
            <w:t>A1</w:t>
          </w:r>
          <w:r w:rsidR="002356CD">
            <w:t>, Appendix</w:t>
          </w:r>
          <w:r w:rsidR="00D04F9F" w:rsidRPr="00EF3907">
            <w:t>)</w:t>
          </w:r>
          <w:r w:rsidR="00D04F9F">
            <w:t>. This was</w:t>
          </w:r>
          <w:r w:rsidR="00D04F9F" w:rsidRPr="00EF3907">
            <w:t xml:space="preserve"> </w:t>
          </w:r>
          <w:r w:rsidRPr="00EF3907">
            <w:t>driven by a 44</w:t>
          </w:r>
          <w:r w:rsidR="004541B3">
            <w:t> per cent </w:t>
          </w:r>
          <w:r w:rsidRPr="00EF3907">
            <w:t>decrease in the number of student visa holders and a</w:t>
          </w:r>
          <w:r w:rsidR="00D04F9F">
            <w:t>n</w:t>
          </w:r>
          <w:r w:rsidRPr="00EF3907">
            <w:t xml:space="preserve"> </w:t>
          </w:r>
          <w:r>
            <w:t>84</w:t>
          </w:r>
          <w:r w:rsidR="004541B3">
            <w:t> per cent</w:t>
          </w:r>
          <w:r w:rsidRPr="00EF3907">
            <w:t xml:space="preserve"> decrease in working holiday visa</w:t>
          </w:r>
          <w:r>
            <w:t xml:space="preserve"> holders</w:t>
          </w:r>
          <w:r w:rsidR="00AD122A">
            <w:t>.</w:t>
          </w:r>
          <w:r>
            <w:t xml:space="preserve"> </w:t>
          </w:r>
          <w:r w:rsidR="00AD122A">
            <w:t>M</w:t>
          </w:r>
          <w:r>
            <w:t>any temporary visa holders transferr</w:t>
          </w:r>
          <w:r w:rsidR="00AD122A">
            <w:t>ed</w:t>
          </w:r>
          <w:r>
            <w:t xml:space="preserve"> to bridging visas which increased by 30</w:t>
          </w:r>
          <w:r w:rsidR="004541B3">
            <w:t> per cent</w:t>
          </w:r>
          <w:r>
            <w:t>.</w:t>
          </w:r>
          <w:r>
            <w:rPr>
              <w:rStyle w:val="FootnoteReference"/>
            </w:rPr>
            <w:footnoteReference w:id="3"/>
          </w:r>
          <w:r>
            <w:t xml:space="preserve"> Through Treasury’s Business Liaison Unit and </w:t>
          </w:r>
          <w:hyperlink r:id="rId8" w:history="1">
            <w:r w:rsidRPr="00402AA9">
              <w:rPr>
                <w:rStyle w:val="Hyperlink"/>
              </w:rPr>
              <w:t>ABS Business Conditions and Sentiments</w:t>
            </w:r>
          </w:hyperlink>
          <w:r>
            <w:t xml:space="preserve"> survey, firms have reported this decline in temporary migrants </w:t>
          </w:r>
          <w:r w:rsidR="00DB6694">
            <w:t>over the COVID</w:t>
          </w:r>
          <w:r w:rsidR="00C34305">
            <w:noBreakHyphen/>
          </w:r>
          <w:r w:rsidR="00DB6694">
            <w:t xml:space="preserve">19 period </w:t>
          </w:r>
          <w:r w:rsidR="00F34B5F">
            <w:t>w</w:t>
          </w:r>
          <w:r>
            <w:t>as a key obstacle to attracting the workers they</w:t>
          </w:r>
          <w:r w:rsidR="00DB2E6A">
            <w:t> </w:t>
          </w:r>
          <w:r w:rsidRPr="009759CC">
            <w:t>need</w:t>
          </w:r>
          <w:r w:rsidR="00F34B5F" w:rsidRPr="009759CC">
            <w:t>ed</w:t>
          </w:r>
          <w:r w:rsidRPr="009759CC">
            <w:t>.</w:t>
          </w:r>
          <w:r w:rsidR="009759CC" w:rsidRPr="00E95D8A">
            <w:rPr>
              <w:rStyle w:val="Strong"/>
              <w:b w:val="0"/>
              <w:bCs w:val="0"/>
            </w:rPr>
            <w:t xml:space="preserve"> </w:t>
          </w:r>
          <w:r w:rsidRPr="00E95D8A">
            <w:rPr>
              <w:rStyle w:val="Strong"/>
              <w:b w:val="0"/>
              <w:bCs w:val="0"/>
            </w:rPr>
            <w:t>This note explores how firms highly reliant on migrants prior to COVID</w:t>
          </w:r>
          <w:r w:rsidR="00C34305" w:rsidRPr="00E95D8A">
            <w:rPr>
              <w:rStyle w:val="Strong"/>
              <w:b w:val="0"/>
              <w:bCs w:val="0"/>
            </w:rPr>
            <w:noBreakHyphen/>
          </w:r>
          <w:r w:rsidRPr="00E95D8A">
            <w:rPr>
              <w:rStyle w:val="Strong"/>
              <w:b w:val="0"/>
              <w:bCs w:val="0"/>
            </w:rPr>
            <w:t>19 responded to this shock</w:t>
          </w:r>
          <w:r w:rsidR="002455B5" w:rsidRPr="00E95D8A">
            <w:rPr>
              <w:rStyle w:val="Strong"/>
              <w:b w:val="0"/>
              <w:bCs w:val="0"/>
            </w:rPr>
            <w:t>.</w:t>
          </w:r>
        </w:p>
        <w:p w14:paraId="3B2A1C59" w14:textId="1B3A8AF1" w:rsidR="003C5318" w:rsidRDefault="003C5318" w:rsidP="003C5318">
          <w:pPr>
            <w:rPr>
              <w:bCs/>
            </w:rPr>
          </w:pPr>
          <w:r>
            <w:rPr>
              <w:bCs/>
            </w:rPr>
            <w:t>Firms ha</w:t>
          </w:r>
          <w:r w:rsidR="009759CC">
            <w:rPr>
              <w:bCs/>
            </w:rPr>
            <w:t>d</w:t>
          </w:r>
          <w:r>
            <w:rPr>
              <w:bCs/>
            </w:rPr>
            <w:t xml:space="preserve"> a number of options for how they could respond to the sharp decline in temporary</w:t>
          </w:r>
          <w:r w:rsidR="00BE4A55">
            <w:rPr>
              <w:bCs/>
            </w:rPr>
            <w:t> </w:t>
          </w:r>
          <w:r>
            <w:rPr>
              <w:bCs/>
            </w:rPr>
            <w:t>migrants:</w:t>
          </w:r>
        </w:p>
        <w:p w14:paraId="598E5AD2" w14:textId="77777777" w:rsidR="003C5318" w:rsidRDefault="003C5318" w:rsidP="003C5318">
          <w:pPr>
            <w:pStyle w:val="OutlineNumbered1"/>
            <w:numPr>
              <w:ilvl w:val="0"/>
              <w:numId w:val="39"/>
            </w:numPr>
            <w:spacing w:after="160" w:line="259" w:lineRule="auto"/>
          </w:pPr>
          <w:r w:rsidRPr="00C94AD1">
            <w:rPr>
              <w:rStyle w:val="Emphasis"/>
            </w:rPr>
            <w:t>Increase number of employees</w:t>
          </w:r>
          <w:r>
            <w:rPr>
              <w:b/>
            </w:rPr>
            <w:t xml:space="preserve"> </w:t>
          </w:r>
          <w:r>
            <w:t>– Replace lost workers through employment of other labour</w:t>
          </w:r>
        </w:p>
        <w:p w14:paraId="453F17FC" w14:textId="77777777" w:rsidR="003C5318" w:rsidRDefault="003C5318" w:rsidP="003C5318">
          <w:pPr>
            <w:pStyle w:val="OutlineNumbered1"/>
            <w:numPr>
              <w:ilvl w:val="0"/>
              <w:numId w:val="39"/>
            </w:numPr>
            <w:spacing w:after="160" w:line="259" w:lineRule="auto"/>
          </w:pPr>
          <w:r w:rsidRPr="00C94AD1">
            <w:rPr>
              <w:rStyle w:val="Emphasis"/>
            </w:rPr>
            <w:t>Increase hours per employee</w:t>
          </w:r>
          <w:r>
            <w:rPr>
              <w:b/>
            </w:rPr>
            <w:t xml:space="preserve"> </w:t>
          </w:r>
          <w:r>
            <w:t>– Replace lost workers through increasing the use of already employed labour</w:t>
          </w:r>
        </w:p>
        <w:p w14:paraId="2087F564" w14:textId="14D330BC" w:rsidR="003C5318" w:rsidRDefault="003C5318" w:rsidP="003C5318">
          <w:pPr>
            <w:pStyle w:val="OutlineNumbered1"/>
            <w:numPr>
              <w:ilvl w:val="0"/>
              <w:numId w:val="39"/>
            </w:numPr>
            <w:spacing w:after="160" w:line="259" w:lineRule="auto"/>
          </w:pPr>
          <w:r w:rsidRPr="00C94AD1">
            <w:rPr>
              <w:rStyle w:val="Emphasis"/>
            </w:rPr>
            <w:t>Improve wages and conditions</w:t>
          </w:r>
          <w:r>
            <w:rPr>
              <w:b/>
            </w:rPr>
            <w:t xml:space="preserve"> </w:t>
          </w:r>
          <w:r>
            <w:t>– Offer increased pay to attract more labour or more productive</w:t>
          </w:r>
          <w:r w:rsidR="001D2832">
            <w:t> </w:t>
          </w:r>
          <w:r>
            <w:t>labour</w:t>
          </w:r>
        </w:p>
        <w:p w14:paraId="1ADDC4D0" w14:textId="06D9BDE9" w:rsidR="003C5318" w:rsidRPr="00293A39" w:rsidRDefault="003C5318" w:rsidP="003C5318">
          <w:pPr>
            <w:pStyle w:val="OutlineNumbered1"/>
            <w:numPr>
              <w:ilvl w:val="0"/>
              <w:numId w:val="39"/>
            </w:numPr>
            <w:spacing w:after="160" w:line="259" w:lineRule="auto"/>
          </w:pPr>
          <w:r w:rsidRPr="00C94AD1">
            <w:rPr>
              <w:rStyle w:val="Emphasis"/>
            </w:rPr>
            <w:t xml:space="preserve">Substitute </w:t>
          </w:r>
          <w:r w:rsidR="00C913E9">
            <w:rPr>
              <w:rStyle w:val="Emphasis"/>
            </w:rPr>
            <w:t>capital</w:t>
          </w:r>
          <w:r w:rsidRPr="00C94AD1">
            <w:rPr>
              <w:rStyle w:val="Emphasis"/>
            </w:rPr>
            <w:t xml:space="preserve"> for </w:t>
          </w:r>
          <w:r w:rsidR="00C913E9">
            <w:rPr>
              <w:rStyle w:val="Emphasis"/>
            </w:rPr>
            <w:t>labour</w:t>
          </w:r>
          <w:r w:rsidRPr="00293A39">
            <w:t xml:space="preserve"> –</w:t>
          </w:r>
          <w:r>
            <w:t xml:space="preserve"> I</w:t>
          </w:r>
          <w:r w:rsidRPr="00293A39">
            <w:t xml:space="preserve">ncrease </w:t>
          </w:r>
          <w:r>
            <w:t>capital investment or utilisation</w:t>
          </w:r>
          <w:r>
            <w:rPr>
              <w:rStyle w:val="FootnoteReference"/>
            </w:rPr>
            <w:footnoteReference w:id="4"/>
          </w:r>
        </w:p>
        <w:p w14:paraId="48D41DFA" w14:textId="60F74DC4" w:rsidR="003C5318" w:rsidRPr="00293A39" w:rsidRDefault="003C5318" w:rsidP="003C5318">
          <w:pPr>
            <w:pStyle w:val="OutlineNumbered1"/>
            <w:numPr>
              <w:ilvl w:val="0"/>
              <w:numId w:val="39"/>
            </w:numPr>
            <w:spacing w:after="160" w:line="259" w:lineRule="auto"/>
          </w:pPr>
          <w:r w:rsidRPr="009B09A3">
            <w:rPr>
              <w:i/>
              <w:iCs/>
            </w:rPr>
            <w:t>Decrease output</w:t>
          </w:r>
          <w:r w:rsidRPr="006F2E06">
            <w:t xml:space="preserve"> – </w:t>
          </w:r>
          <w:r w:rsidRPr="009B09A3">
            <w:t>Decrease</w:t>
          </w:r>
          <w:r w:rsidRPr="00C30EBD">
            <w:t xml:space="preserve"> production</w:t>
          </w:r>
          <w:r>
            <w:t>, due to insufficient supply of labour</w:t>
          </w:r>
          <w:r w:rsidR="004B648D">
            <w:t>.</w:t>
          </w:r>
          <w:r>
            <w:t xml:space="preserve"> </w:t>
          </w:r>
        </w:p>
        <w:p w14:paraId="0C8EE56D" w14:textId="09648AF0" w:rsidR="003C5318" w:rsidRDefault="003C5318" w:rsidP="003C5318">
          <w:pPr>
            <w:rPr>
              <w:bCs/>
            </w:rPr>
          </w:pPr>
          <w:r>
            <w:rPr>
              <w:bCs/>
            </w:rPr>
            <w:t xml:space="preserve">Where the decline in temporary migrants </w:t>
          </w:r>
          <w:r w:rsidR="00070D2B">
            <w:rPr>
              <w:bCs/>
            </w:rPr>
            <w:t xml:space="preserve">had </w:t>
          </w:r>
          <w:r>
            <w:rPr>
              <w:bCs/>
            </w:rPr>
            <w:t xml:space="preserve">a modest impact on total labour supply, firms </w:t>
          </w:r>
          <w:r w:rsidR="003E2B9B">
            <w:rPr>
              <w:bCs/>
            </w:rPr>
            <w:t>could be</w:t>
          </w:r>
          <w:r>
            <w:rPr>
              <w:bCs/>
            </w:rPr>
            <w:t xml:space="preserve"> expected to accommodate the shock by hiring local workers or increasing the hours worked by existing workers (options 1 and 2). However, highly exposed segments of the economy </w:t>
          </w:r>
          <w:r w:rsidR="00C913E9">
            <w:rPr>
              <w:bCs/>
            </w:rPr>
            <w:t xml:space="preserve">may have </w:t>
          </w:r>
          <w:r>
            <w:rPr>
              <w:bCs/>
            </w:rPr>
            <w:t>struggle</w:t>
          </w:r>
          <w:r w:rsidR="00B25B67">
            <w:rPr>
              <w:bCs/>
            </w:rPr>
            <w:t>d</w:t>
          </w:r>
          <w:r>
            <w:rPr>
              <w:bCs/>
            </w:rPr>
            <w:t xml:space="preserve"> to increase labour supply sufficiently, and instead </w:t>
          </w:r>
          <w:r w:rsidR="00B25B67">
            <w:rPr>
              <w:bCs/>
            </w:rPr>
            <w:t xml:space="preserve">found </w:t>
          </w:r>
          <w:r>
            <w:rPr>
              <w:bCs/>
            </w:rPr>
            <w:t>they need</w:t>
          </w:r>
          <w:r w:rsidR="00B25B67">
            <w:rPr>
              <w:bCs/>
            </w:rPr>
            <w:t>ed</w:t>
          </w:r>
          <w:r>
            <w:rPr>
              <w:bCs/>
            </w:rPr>
            <w:t xml:space="preserve"> to improve wages and conditions, substitute capital for labour or decrease total production (options 3, 4 and 5). </w:t>
          </w:r>
        </w:p>
        <w:p w14:paraId="610445C3" w14:textId="68D5A230" w:rsidR="003C5318" w:rsidRDefault="003C5318" w:rsidP="003C5318">
          <w:pPr>
            <w:rPr>
              <w:bCs/>
            </w:rPr>
          </w:pPr>
          <w:r>
            <w:rPr>
              <w:bCs/>
            </w:rPr>
            <w:t xml:space="preserve">How firms chose to adapt to insufficient labour supply at </w:t>
          </w:r>
          <w:r w:rsidR="00DB33D6">
            <w:rPr>
              <w:bCs/>
            </w:rPr>
            <w:t xml:space="preserve">given </w:t>
          </w:r>
          <w:r>
            <w:rPr>
              <w:bCs/>
            </w:rPr>
            <w:t xml:space="preserve">wages will </w:t>
          </w:r>
          <w:r w:rsidR="00DB33D6">
            <w:rPr>
              <w:bCs/>
            </w:rPr>
            <w:t xml:space="preserve">have </w:t>
          </w:r>
          <w:r>
            <w:rPr>
              <w:bCs/>
            </w:rPr>
            <w:t>impact</w:t>
          </w:r>
          <w:r w:rsidR="00DB33D6">
            <w:rPr>
              <w:bCs/>
            </w:rPr>
            <w:t>ed</w:t>
          </w:r>
          <w:r>
            <w:rPr>
              <w:bCs/>
            </w:rPr>
            <w:t xml:space="preserve"> how the economy recover</w:t>
          </w:r>
          <w:r w:rsidR="00DB33D6">
            <w:rPr>
              <w:bCs/>
            </w:rPr>
            <w:t>ed</w:t>
          </w:r>
          <w:r>
            <w:rPr>
              <w:bCs/>
            </w:rPr>
            <w:t xml:space="preserve">. Improvement in wages and conditions in affected firms could </w:t>
          </w:r>
          <w:r w:rsidR="00DB33D6">
            <w:rPr>
              <w:bCs/>
            </w:rPr>
            <w:t>put upward pressure</w:t>
          </w:r>
          <w:r w:rsidR="00942304">
            <w:rPr>
              <w:bCs/>
            </w:rPr>
            <w:t xml:space="preserve"> on</w:t>
          </w:r>
          <w:r>
            <w:rPr>
              <w:bCs/>
            </w:rPr>
            <w:t xml:space="preserve"> wage growth across the economy, and substitution towards capital stock could increase the productivity of existing workers. However, if firms can’t make these substitutions easily or expect the shock to be temporary, they may instead temporarily decrease output, which would</w:t>
          </w:r>
          <w:r w:rsidR="00942304">
            <w:rPr>
              <w:bCs/>
            </w:rPr>
            <w:t xml:space="preserve"> have</w:t>
          </w:r>
          <w:r>
            <w:rPr>
              <w:bCs/>
            </w:rPr>
            <w:t xml:space="preserve"> slow</w:t>
          </w:r>
          <w:r w:rsidR="00942304">
            <w:rPr>
              <w:bCs/>
            </w:rPr>
            <w:t>ed</w:t>
          </w:r>
          <w:r>
            <w:rPr>
              <w:bCs/>
            </w:rPr>
            <w:t xml:space="preserve"> Australia’s</w:t>
          </w:r>
          <w:r w:rsidR="006512A6">
            <w:rPr>
              <w:bCs/>
            </w:rPr>
            <w:t> </w:t>
          </w:r>
          <w:r>
            <w:rPr>
              <w:bCs/>
            </w:rPr>
            <w:t xml:space="preserve">recovery. </w:t>
          </w:r>
        </w:p>
        <w:p w14:paraId="7BF52865" w14:textId="7551331F" w:rsidR="003C5318" w:rsidRPr="00183986" w:rsidRDefault="0035107A" w:rsidP="006646B5">
          <w:pPr>
            <w:pStyle w:val="Heading2Numbered"/>
          </w:pPr>
          <w:bookmarkStart w:id="4" w:name="_Toc150767963"/>
          <w:r>
            <w:lastRenderedPageBreak/>
            <w:t>H</w:t>
          </w:r>
          <w:r w:rsidR="003C5318" w:rsidRPr="00183986">
            <w:t xml:space="preserve">igh frequency administrative data </w:t>
          </w:r>
          <w:r w:rsidR="00942304">
            <w:t xml:space="preserve">can be </w:t>
          </w:r>
          <w:r>
            <w:t xml:space="preserve">used </w:t>
          </w:r>
          <w:r w:rsidR="003C5318">
            <w:t>to unpack</w:t>
          </w:r>
          <w:r w:rsidR="003C5318" w:rsidRPr="00183986">
            <w:t xml:space="preserve"> </w:t>
          </w:r>
          <w:r w:rsidR="003C5318">
            <w:t>changes in employment, total pay and turnover</w:t>
          </w:r>
          <w:bookmarkEnd w:id="4"/>
          <w:r>
            <w:t xml:space="preserve"> </w:t>
          </w:r>
        </w:p>
        <w:p w14:paraId="071BB3BD" w14:textId="1BEC8ED6" w:rsidR="003C5318" w:rsidRDefault="003C5318" w:rsidP="003C5318">
          <w:r>
            <w:t xml:space="preserve">Single Touch Payroll data, </w:t>
          </w:r>
          <w:r w:rsidR="008F35C7">
            <w:t>Australian Taxation Office (</w:t>
          </w:r>
          <w:r>
            <w:t>ATO</w:t>
          </w:r>
          <w:r w:rsidR="008F35C7">
            <w:t>)</w:t>
          </w:r>
          <w:r>
            <w:t xml:space="preserve"> Business Activity Statements and Home Affairs visa data </w:t>
          </w:r>
          <w:r w:rsidR="0035107A">
            <w:t xml:space="preserve">was used </w:t>
          </w:r>
          <w:r>
            <w:t xml:space="preserve">to </w:t>
          </w:r>
          <w:r w:rsidR="0035107A">
            <w:t xml:space="preserve">analyse </w:t>
          </w:r>
          <w:r>
            <w:t>how many temporary migrants were employed in each firm prior to COVID</w:t>
          </w:r>
          <w:r w:rsidR="00C34305">
            <w:noBreakHyphen/>
          </w:r>
          <w:r>
            <w:t xml:space="preserve">19, and how these firms responded to the decline in temporary migrants. </w:t>
          </w:r>
          <w:r w:rsidR="006866FF">
            <w:t>The</w:t>
          </w:r>
          <w:r>
            <w:t xml:space="preserve"> total number of employees</w:t>
          </w:r>
          <w:r w:rsidR="006F3B0F">
            <w:t xml:space="preserve">, </w:t>
          </w:r>
          <w:r>
            <w:t>turnover and total pay to each employee</w:t>
          </w:r>
          <w:r w:rsidR="006866FF">
            <w:t xml:space="preserve"> </w:t>
          </w:r>
          <w:r w:rsidR="00B22051">
            <w:t xml:space="preserve">was observed </w:t>
          </w:r>
          <w:r w:rsidR="006866FF">
            <w:t xml:space="preserve">for each firm. However, </w:t>
          </w:r>
          <w:r>
            <w:t>the number of hours worked by each employee</w:t>
          </w:r>
          <w:r w:rsidR="00B22051">
            <w:t>,</w:t>
          </w:r>
          <w:r>
            <w:t xml:space="preserve"> or their hourly wage</w:t>
          </w:r>
          <w:r w:rsidR="00B22051">
            <w:t>,</w:t>
          </w:r>
          <w:r w:rsidR="006866FF">
            <w:t xml:space="preserve"> was not observed</w:t>
          </w:r>
          <w:r>
            <w:t xml:space="preserve">. </w:t>
          </w:r>
        </w:p>
        <w:p w14:paraId="4CCB15AD" w14:textId="7A485B92" w:rsidR="003C5318" w:rsidRDefault="003C5318" w:rsidP="003C5318">
          <w:r>
            <w:t>Over the three</w:t>
          </w:r>
          <w:r w:rsidR="00C34305">
            <w:noBreakHyphen/>
          </w:r>
          <w:r>
            <w:t>year period analyse</w:t>
          </w:r>
          <w:r w:rsidR="004E3141">
            <w:t>d</w:t>
          </w:r>
          <w:r>
            <w:t>, new firms were founded, existing firms exited the market and individuals changed visa statuses. To provide a consistent basis for comparison</w:t>
          </w:r>
          <w:r w:rsidR="009A7002">
            <w:t xml:space="preserve"> of firms</w:t>
          </w:r>
          <w:r>
            <w:t xml:space="preserve">, </w:t>
          </w:r>
          <w:r w:rsidR="00B22051">
            <w:t xml:space="preserve">this </w:t>
          </w:r>
          <w:r>
            <w:t xml:space="preserve">analysis focuses on firms that reported payroll data on February 2020 and December 2022 </w:t>
          </w:r>
          <w:r w:rsidR="00884C2B">
            <w:t xml:space="preserve">– </w:t>
          </w:r>
          <w:r>
            <w:t>the first and last periods studied.</w:t>
          </w:r>
          <w:r>
            <w:rPr>
              <w:rStyle w:val="FootnoteReference"/>
            </w:rPr>
            <w:footnoteReference w:id="5"/>
          </w:r>
          <w:r>
            <w:t xml:space="preserve"> </w:t>
          </w:r>
          <w:r w:rsidR="00C12708">
            <w:t>A firm’s</w:t>
          </w:r>
          <w:r>
            <w:t xml:space="preserve"> reliance on temporary migrant workers </w:t>
          </w:r>
          <w:r w:rsidR="00C12708">
            <w:t xml:space="preserve">was defined </w:t>
          </w:r>
          <w:r w:rsidR="00CB01FF">
            <w:t xml:space="preserve">in this analysis </w:t>
          </w:r>
          <w:r>
            <w:t xml:space="preserve">as the percentage of their headcount that were temporary migrant workers in </w:t>
          </w:r>
          <w:r w:rsidR="00CB01FF">
            <w:t xml:space="preserve">the </w:t>
          </w:r>
          <w:r>
            <w:t>first period</w:t>
          </w:r>
          <w:r w:rsidR="002D0011">
            <w:t>,</w:t>
          </w:r>
          <w:r w:rsidR="004A0F92">
            <w:t xml:space="preserve"> </w:t>
          </w:r>
          <w:r>
            <w:t>allow</w:t>
          </w:r>
          <w:r w:rsidR="002D0011">
            <w:t>ing</w:t>
          </w:r>
          <w:r>
            <w:t xml:space="preserve"> </w:t>
          </w:r>
          <w:r w:rsidR="00882BFF">
            <w:t xml:space="preserve">for </w:t>
          </w:r>
          <w:r w:rsidR="00F945E1">
            <w:t>individual</w:t>
          </w:r>
          <w:r>
            <w:t xml:space="preserve"> visa status to change over the period.</w:t>
          </w:r>
          <w:r w:rsidRPr="00E448E5">
            <w:rPr>
              <w:vertAlign w:val="superscript"/>
            </w:rPr>
            <w:t>5</w:t>
          </w:r>
          <w:r>
            <w:t xml:space="preserve"> Finally, the term ‘domestic workers’ </w:t>
          </w:r>
          <w:r w:rsidR="009D5882">
            <w:t xml:space="preserve">is used </w:t>
          </w:r>
          <w:r>
            <w:t>to refer to all workers who are not temporary migrants – that is, Australian</w:t>
          </w:r>
          <w:r w:rsidR="00826E86">
            <w:t xml:space="preserve"> citizens</w:t>
          </w:r>
          <w:r>
            <w:t xml:space="preserve"> and Permanent</w:t>
          </w:r>
          <w:r w:rsidR="001D2832">
            <w:t> </w:t>
          </w:r>
          <w:r>
            <w:t>Residents.</w:t>
          </w:r>
        </w:p>
        <w:p w14:paraId="260B7AA5" w14:textId="7FE9E982" w:rsidR="003C5318" w:rsidRPr="00AE3C8C" w:rsidRDefault="003C5318" w:rsidP="003C5318">
          <w:r>
            <w:t>The differences in performance of firms with high and low reliance on temporary migrants</w:t>
          </w:r>
          <w:r w:rsidR="006C13D1">
            <w:t xml:space="preserve"> was also examined</w:t>
          </w:r>
          <w:r>
            <w:t>.</w:t>
          </w:r>
          <w:r>
            <w:rPr>
              <w:rStyle w:val="FootnoteReference"/>
            </w:rPr>
            <w:footnoteReference w:id="6"/>
          </w:r>
          <w:r>
            <w:t xml:space="preserve"> The experience of firms </w:t>
          </w:r>
          <w:r w:rsidR="00C26672">
            <w:t xml:space="preserve">with </w:t>
          </w:r>
          <w:r w:rsidR="006C13D1">
            <w:t>zero to 10</w:t>
          </w:r>
          <w:r w:rsidR="004541B3">
            <w:t> per cent </w:t>
          </w:r>
          <w:r>
            <w:t xml:space="preserve">of workers </w:t>
          </w:r>
          <w:r w:rsidR="00C26672">
            <w:t xml:space="preserve">who </w:t>
          </w:r>
          <w:r>
            <w:t>were temporary migrants is most representative of the average firm’s experience</w:t>
          </w:r>
          <w:r w:rsidR="00C26672">
            <w:t>. T</w:t>
          </w:r>
          <w:r>
            <w:t>his category contains 88</w:t>
          </w:r>
          <w:r w:rsidR="004541B3">
            <w:t> per cent </w:t>
          </w:r>
          <w:r>
            <w:t>of Australian firms and 87</w:t>
          </w:r>
          <w:r w:rsidR="004541B3">
            <w:t> per cent </w:t>
          </w:r>
          <w:r>
            <w:t xml:space="preserve">of employees. We compare this cohort’s performance to the performance of firms where </w:t>
          </w:r>
          <w:r w:rsidR="00BB0C26">
            <w:t>(</w:t>
          </w:r>
          <w:r w:rsidRPr="00BF24BF">
            <w:t>10</w:t>
          </w:r>
          <w:r w:rsidR="00C34305">
            <w:noBreakHyphen/>
          </w:r>
          <w:r w:rsidRPr="00BF24BF">
            <w:t>40</w:t>
          </w:r>
          <w:r w:rsidR="00BB0C26">
            <w:t>]</w:t>
          </w:r>
          <w:r w:rsidRPr="00BF24BF">
            <w:t xml:space="preserve">, </w:t>
          </w:r>
          <w:r w:rsidR="00BB0C26">
            <w:t>(</w:t>
          </w:r>
          <w:r w:rsidRPr="00BF24BF">
            <w:t>40</w:t>
          </w:r>
          <w:r w:rsidRPr="00BF24BF">
            <w:noBreakHyphen/>
            <w:t>70</w:t>
          </w:r>
          <w:r w:rsidR="00BB0C26">
            <w:t>]</w:t>
          </w:r>
          <w:r w:rsidR="0096280B">
            <w:t>,</w:t>
          </w:r>
          <w:r w:rsidRPr="00BF24BF">
            <w:t xml:space="preserve"> or </w:t>
          </w:r>
          <w:r w:rsidR="00BB0C26">
            <w:t>(</w:t>
          </w:r>
          <w:r w:rsidRPr="00BF24BF">
            <w:t>70</w:t>
          </w:r>
          <w:r w:rsidR="00C34305">
            <w:noBreakHyphen/>
          </w:r>
          <w:r w:rsidRPr="00BF24BF">
            <w:t>100</w:t>
          </w:r>
          <w:r w:rsidR="00BB0C26">
            <w:t>]</w:t>
          </w:r>
          <w:r w:rsidR="00A469E3">
            <w:t xml:space="preserve"> per cent</w:t>
          </w:r>
          <w:r w:rsidRPr="00BF24BF">
            <w:t xml:space="preserve"> of wo</w:t>
          </w:r>
          <w:r>
            <w:t>rkers were temporary migrants prior to COVID</w:t>
          </w:r>
          <w:r w:rsidR="00C34305">
            <w:noBreakHyphen/>
          </w:r>
          <w:r>
            <w:t>19</w:t>
          </w:r>
          <w:r w:rsidR="006C6AA9">
            <w:t>.</w:t>
          </w:r>
          <w:r w:rsidR="00942304">
            <w:rPr>
              <w:rStyle w:val="FootnoteReference"/>
            </w:rPr>
            <w:footnoteReference w:id="7"/>
          </w:r>
          <w:r w:rsidR="006C6AA9">
            <w:t xml:space="preserve"> This comparison was made to</w:t>
          </w:r>
          <w:r>
            <w:t xml:space="preserve"> understand how firms with different levels of exposure to the decline in temporary migrants adjusted to the shock.</w:t>
          </w:r>
        </w:p>
        <w:p w14:paraId="216CDBE4" w14:textId="77777777" w:rsidR="003C5318" w:rsidRPr="00B80279" w:rsidRDefault="003C5318" w:rsidP="006646B5">
          <w:pPr>
            <w:pStyle w:val="Heading2Numbered"/>
          </w:pPr>
          <w:bookmarkStart w:id="5" w:name="_Toc150767964"/>
          <w:r>
            <w:t>I</w:t>
          </w:r>
          <w:r w:rsidRPr="00B80279">
            <w:t xml:space="preserve">ndustries, regions and firms </w:t>
          </w:r>
          <w:r>
            <w:t xml:space="preserve">that were </w:t>
          </w:r>
          <w:r w:rsidRPr="00B80279">
            <w:t xml:space="preserve">highly </w:t>
          </w:r>
          <w:r>
            <w:t xml:space="preserve">reliant on </w:t>
          </w:r>
          <w:r w:rsidRPr="00B80279">
            <w:t>temporary migrants</w:t>
          </w:r>
          <w:r>
            <w:t xml:space="preserve"> experienced above average declines in employment</w:t>
          </w:r>
          <w:bookmarkEnd w:id="5"/>
          <w:r>
            <w:t xml:space="preserve"> </w:t>
          </w:r>
        </w:p>
        <w:p w14:paraId="3AD05A5F" w14:textId="0F9597D4" w:rsidR="003C5318" w:rsidRDefault="00F16AC8" w:rsidP="003C5318">
          <w:r>
            <w:t>A</w:t>
          </w:r>
          <w:r w:rsidR="003C5318">
            <w:t xml:space="preserve"> small group of subsectors and firms were acutely impacted by the fall in temporary migrant workers</w:t>
          </w:r>
          <w:r w:rsidR="007C7DE8">
            <w:t xml:space="preserve">. Across the economy, </w:t>
          </w:r>
          <w:r w:rsidR="003C5318">
            <w:t>16</w:t>
          </w:r>
          <w:r w:rsidR="004541B3">
            <w:t> per cent </w:t>
          </w:r>
          <w:r w:rsidR="003C5318">
            <w:t>of firms relied on temporary migrants for more than 10</w:t>
          </w:r>
          <w:r w:rsidR="004541B3">
            <w:t> per cent </w:t>
          </w:r>
          <w:r w:rsidR="003C5318">
            <w:t>of their workforce (</w:t>
          </w:r>
          <w:r w:rsidR="00822949" w:rsidRPr="00E9316C">
            <w:t>Chart</w:t>
          </w:r>
          <w:r w:rsidR="003C5318" w:rsidRPr="00E9316C">
            <w:t xml:space="preserve"> </w:t>
          </w:r>
          <w:r w:rsidR="008C542D">
            <w:t>A</w:t>
          </w:r>
          <w:r w:rsidR="00F77DEA">
            <w:t>2</w:t>
          </w:r>
          <w:r w:rsidR="0095604F">
            <w:t>, Appendix</w:t>
          </w:r>
          <w:r w:rsidR="003C5318">
            <w:t xml:space="preserve">). These firms were concentrated in specific industries and regions. The industries most reliant on temporary migrants were </w:t>
          </w:r>
          <w:r w:rsidR="0020329B">
            <w:t>H</w:t>
          </w:r>
          <w:r w:rsidR="003C5318">
            <w:t xml:space="preserve">ospitality, </w:t>
          </w:r>
          <w:r w:rsidR="0020329B">
            <w:t>A</w:t>
          </w:r>
          <w:r w:rsidR="003C5318">
            <w:t xml:space="preserve">griculture, and </w:t>
          </w:r>
          <w:r w:rsidR="0020329B">
            <w:t>A</w:t>
          </w:r>
          <w:r w:rsidR="003C5318">
            <w:t xml:space="preserve">dministrative </w:t>
          </w:r>
          <w:r w:rsidR="0020329B">
            <w:t>S</w:t>
          </w:r>
          <w:r w:rsidR="003C5318">
            <w:t>ervices (</w:t>
          </w:r>
          <w:r w:rsidR="00E90F59">
            <w:t xml:space="preserve">Chart </w:t>
          </w:r>
          <w:r w:rsidR="0030137F">
            <w:t>1</w:t>
          </w:r>
          <w:r w:rsidR="00E90F59">
            <w:t>.1</w:t>
          </w:r>
          <w:r w:rsidR="003C5318" w:rsidRPr="009E2375">
            <w:t>).</w:t>
          </w:r>
          <w:r w:rsidR="003C5318">
            <w:t xml:space="preserve"> The impact of the border closure can be observed in headline employment </w:t>
          </w:r>
          <w:r w:rsidR="00822949">
            <w:t>chart</w:t>
          </w:r>
          <w:r w:rsidR="003C5318">
            <w:t>s for some industries</w:t>
          </w:r>
          <w:r>
            <w:t xml:space="preserve"> – including </w:t>
          </w:r>
          <w:r w:rsidR="0020329B">
            <w:t>A</w:t>
          </w:r>
          <w:r w:rsidR="003C5318">
            <w:t xml:space="preserve">griculture, </w:t>
          </w:r>
          <w:r w:rsidR="0020329B">
            <w:t>F</w:t>
          </w:r>
          <w:r w:rsidR="003C5318">
            <w:t xml:space="preserve">orestry and </w:t>
          </w:r>
          <w:r w:rsidR="0020329B">
            <w:t>F</w:t>
          </w:r>
          <w:r w:rsidR="003C5318">
            <w:t>ishing</w:t>
          </w:r>
          <w:r>
            <w:t xml:space="preserve"> – </w:t>
          </w:r>
          <w:r w:rsidR="003C5318">
            <w:t>as the number of temporary migrant workers declined at a time whe</w:t>
          </w:r>
          <w:r w:rsidR="003A2324">
            <w:t>n</w:t>
          </w:r>
          <w:r w:rsidR="003C5318">
            <w:t xml:space="preserve"> total jobs </w:t>
          </w:r>
          <w:r w:rsidR="003C5318" w:rsidRPr="003B3989">
            <w:t>increased</w:t>
          </w:r>
          <w:r w:rsidR="00DD0F66">
            <w:t xml:space="preserve"> by </w:t>
          </w:r>
          <w:r w:rsidR="005C7F56">
            <w:t>around 460,000</w:t>
          </w:r>
          <w:r w:rsidR="003C5318">
            <w:t xml:space="preserve"> (</w:t>
          </w:r>
          <w:r w:rsidR="00101AC2" w:rsidRPr="003B3989">
            <w:t>Chart</w:t>
          </w:r>
          <w:r w:rsidR="003C5318" w:rsidRPr="003B3989">
            <w:t xml:space="preserve"> </w:t>
          </w:r>
          <w:r w:rsidR="008C542D">
            <w:t>A</w:t>
          </w:r>
          <w:r w:rsidR="002C22B6">
            <w:t>3</w:t>
          </w:r>
          <w:r w:rsidR="004C1A88">
            <w:t>, Appendix</w:t>
          </w:r>
          <w:r w:rsidR="003C5318">
            <w:t>). But in other highly impacted sectors</w:t>
          </w:r>
          <w:r>
            <w:t xml:space="preserve"> –</w:t>
          </w:r>
          <w:r w:rsidR="003C5318">
            <w:t xml:space="preserve"> </w:t>
          </w:r>
          <w:r w:rsidR="00A1634E">
            <w:t>A</w:t>
          </w:r>
          <w:r w:rsidR="003C5318">
            <w:t xml:space="preserve">ccommodation </w:t>
          </w:r>
          <w:r w:rsidR="003C5318" w:rsidRPr="009E2375">
            <w:t>and</w:t>
          </w:r>
          <w:r w:rsidR="003C5318">
            <w:t xml:space="preserve"> </w:t>
          </w:r>
          <w:r w:rsidR="00A1634E">
            <w:t>F</w:t>
          </w:r>
          <w:r w:rsidR="003C5318" w:rsidRPr="009E2375">
            <w:t xml:space="preserve">ood </w:t>
          </w:r>
          <w:r w:rsidR="00A1634E">
            <w:t>S</w:t>
          </w:r>
          <w:r w:rsidR="003C5318">
            <w:t>ervices</w:t>
          </w:r>
          <w:r>
            <w:t xml:space="preserve"> – </w:t>
          </w:r>
          <w:r w:rsidR="003C5318">
            <w:t xml:space="preserve">the impact of the border closure </w:t>
          </w:r>
          <w:r>
            <w:t xml:space="preserve">was </w:t>
          </w:r>
          <w:r w:rsidR="003C5318">
            <w:t xml:space="preserve">harder to isolate, as the total number of jobs in </w:t>
          </w:r>
          <w:r w:rsidR="003C5318">
            <w:lastRenderedPageBreak/>
            <w:t>the sector also declined. At a geographic level, urban areas had a larger share of temporary migrants than regional and remote areas, due to the large number of student visa holders living in cities (</w:t>
          </w:r>
          <w:r w:rsidR="00101AC2">
            <w:t>Chart</w:t>
          </w:r>
          <w:r w:rsidR="00EC6FB6">
            <w:t> </w:t>
          </w:r>
          <w:r w:rsidR="002C22B6">
            <w:t>A4</w:t>
          </w:r>
          <w:r w:rsidR="00E3038D">
            <w:t>, Appendix</w:t>
          </w:r>
          <w:r w:rsidR="003C5318">
            <w:t xml:space="preserve">). </w:t>
          </w:r>
        </w:p>
        <w:p w14:paraId="2CC05246" w14:textId="41C54A2F" w:rsidR="003C5318" w:rsidRPr="00FF5281" w:rsidRDefault="00650073" w:rsidP="00650073">
          <w:pPr>
            <w:pStyle w:val="ChartMainHeading"/>
          </w:pPr>
          <w:r w:rsidRPr="00FF5281">
            <w:t>Pre-COVID-19 temporary migrant share of jobs, by sector and temporary visa type</w:t>
          </w:r>
          <w:r w:rsidR="005764DB" w:rsidRPr="00FF5281">
            <w:t xml:space="preserve"> </w:t>
          </w:r>
        </w:p>
        <w:p w14:paraId="69210F82" w14:textId="7A0976B4" w:rsidR="003C5318" w:rsidRDefault="008F32E4" w:rsidP="001F4868">
          <w:pPr>
            <w:pStyle w:val="ChartGraphic"/>
          </w:pPr>
          <w:r>
            <w:rPr>
              <w:noProof/>
            </w:rPr>
            <w:drawing>
              <wp:inline distT="0" distB="0" distL="0" distR="0" wp14:anchorId="581BC71C" wp14:editId="54313EA3">
                <wp:extent cx="5580000" cy="3011609"/>
                <wp:effectExtent l="0" t="0" r="0" b="0"/>
                <wp:docPr id="1" name="Graphic 1" descr="Pre-COVID-19 temporary migrant share of jobs, by sector and temporary visa type &#10;&#10;A bar chart showing the pre-COVID-19 temporary migrant share of jobs, by sector and temporary visa type. The sectors with the highest temporary migrant share of jobs is  Accommodation and Food Services at 14.3 per cent, followed by Agriculture, Forestry and Fishing at 12.1 per cent and Administrative and Support Services at 10.3 per cent. The sector wit the lowest share is Public Administration and Safety at 0.5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re-COVID-19 temporary migrant share of jobs, by sector and temporary visa type &#10;&#10;A bar chart showing the pre-COVID-19 temporary migrant share of jobs, by sector and temporary visa type. The sectors with the highest temporary migrant share of jobs is  Accommodation and Food Services at 14.3 per cent, followed by Agriculture, Forestry and Fishing at 12.1 per cent and Administrative and Support Services at 10.3 per cent. The sector wit the lowest share is Public Administration and Safety at 0.5 per cent. "/>
                        <pic:cNvPicPr/>
                      </pic:nvPicPr>
                      <pic:blipFill>
                        <a:blip r:embed="rId9">
                          <a:extLst>
                            <a:ext uri="{96DAC541-7B7A-43D3-8B79-37D633B846F1}">
                              <asvg:svgBlip xmlns:asvg="http://schemas.microsoft.com/office/drawing/2016/SVG/main" r:embed="rId10"/>
                            </a:ext>
                          </a:extLst>
                        </a:blip>
                        <a:stretch>
                          <a:fillRect/>
                        </a:stretch>
                      </pic:blipFill>
                      <pic:spPr>
                        <a:xfrm>
                          <a:off x="0" y="0"/>
                          <a:ext cx="5580000" cy="3011609"/>
                        </a:xfrm>
                        <a:prstGeom prst="rect">
                          <a:avLst/>
                        </a:prstGeom>
                      </pic:spPr>
                    </pic:pic>
                  </a:graphicData>
                </a:graphic>
              </wp:inline>
            </w:drawing>
          </w:r>
          <w:r w:rsidR="00980130" w:rsidRPr="00F945BA">
            <w:rPr>
              <w:noProof/>
            </w:rPr>
            <w:t xml:space="preserve"> </w:t>
          </w:r>
        </w:p>
        <w:p w14:paraId="345CE464" w14:textId="7B805E45" w:rsidR="003C5318" w:rsidRDefault="003C5318" w:rsidP="00DB7097">
          <w:pPr>
            <w:pStyle w:val="Chartsource"/>
            <w:ind w:left="720" w:hanging="720"/>
          </w:pPr>
          <w:r w:rsidRPr="00DC4A05">
            <w:t>Source:</w:t>
          </w:r>
          <w:r>
            <w:t xml:space="preserve"> </w:t>
          </w:r>
          <w:r w:rsidR="00085BB4">
            <w:tab/>
          </w:r>
          <w:r>
            <w:t xml:space="preserve">Treasury analysis of tax and visa microdata. Notes: Based on jobs in February 2020, and will reflect any seasonal effects associated with this time of year (which may be particularly pronounced in agriculture). </w:t>
          </w:r>
        </w:p>
        <w:p w14:paraId="51226A9E" w14:textId="77777777" w:rsidR="00130E29" w:rsidRDefault="00130E29" w:rsidP="00856F45">
          <w:pPr>
            <w:pStyle w:val="Chartsource"/>
          </w:pPr>
        </w:p>
        <w:p w14:paraId="71C1B2A1" w14:textId="77777777" w:rsidR="00650073" w:rsidRPr="0081517F" w:rsidRDefault="00650073" w:rsidP="00130E29">
          <w:pPr>
            <w:pStyle w:val="ChartTableFiguresectionline"/>
          </w:pPr>
        </w:p>
        <w:p w14:paraId="68FBD893" w14:textId="1DA6505F" w:rsidR="003C5318" w:rsidRDefault="003C5318" w:rsidP="00E3726F">
          <w:pPr>
            <w:pStyle w:val="Heading2Numbered"/>
          </w:pPr>
          <w:bookmarkStart w:id="6" w:name="_Toc150767965"/>
          <w:r w:rsidRPr="00B80279">
            <w:t>Firms adjusted to this shock by finding alternative sources of labour and decreasing turnover</w:t>
          </w:r>
          <w:bookmarkEnd w:id="6"/>
        </w:p>
        <w:p w14:paraId="241F58D7" w14:textId="7C5C371E" w:rsidR="005B6A3C" w:rsidRDefault="00313750" w:rsidP="003C5318">
          <w:r>
            <w:t>I now explore the experiences of firms with different levels of reliance on temporary migrants prior to COVID</w:t>
          </w:r>
          <w:r>
            <w:noBreakHyphen/>
            <w:t>19</w:t>
          </w:r>
          <w:r w:rsidR="00A414D1">
            <w:t xml:space="preserve"> to understand the impact that the decline in the number of temporary migrants in Australia had on business operations</w:t>
          </w:r>
          <w:r w:rsidR="00C3718E">
            <w:t>.</w:t>
          </w:r>
          <w:r w:rsidR="006E6057">
            <w:t xml:space="preserve"> </w:t>
          </w:r>
          <w:r w:rsidR="00875A17">
            <w:t>In particular, t</w:t>
          </w:r>
          <w:r w:rsidR="006E6057">
            <w:t>h</w:t>
          </w:r>
          <w:r w:rsidR="00875A17">
            <w:t>is</w:t>
          </w:r>
          <w:r w:rsidR="006E6057">
            <w:t xml:space="preserve"> </w:t>
          </w:r>
          <w:r w:rsidR="00AC7732">
            <w:t>analysis</w:t>
          </w:r>
          <w:r w:rsidR="006E6057">
            <w:t xml:space="preserve"> </w:t>
          </w:r>
          <w:r w:rsidR="00E0023D">
            <w:t>examines</w:t>
          </w:r>
          <w:r w:rsidR="003C5318">
            <w:t xml:space="preserve"> how these firms adjusted total jobs</w:t>
          </w:r>
          <w:r w:rsidR="0044336C">
            <w:t xml:space="preserve"> and</w:t>
          </w:r>
          <w:r w:rsidR="003C5318">
            <w:t xml:space="preserve"> average pay </w:t>
          </w:r>
          <w:r w:rsidR="005B6A3C">
            <w:t>through the course of the pandemic</w:t>
          </w:r>
          <w:r w:rsidR="003C5318">
            <w:t xml:space="preserve">. </w:t>
          </w:r>
          <w:r w:rsidR="00EE1C4B" w:rsidRPr="00EF70AF">
            <w:t xml:space="preserve">In later </w:t>
          </w:r>
          <w:r w:rsidR="00EE1C4B" w:rsidRPr="001542AD">
            <w:t xml:space="preserve">analysis </w:t>
          </w:r>
          <w:r w:rsidR="001542AD" w:rsidRPr="009F7D51">
            <w:t>(Chart</w:t>
          </w:r>
          <w:r w:rsidR="006E314C">
            <w:t>s</w:t>
          </w:r>
          <w:r w:rsidR="001542AD" w:rsidRPr="009F7D51">
            <w:t xml:space="preserve"> 1.6 and 1.7) </w:t>
          </w:r>
          <w:r w:rsidR="00EE1C4B" w:rsidRPr="001542AD">
            <w:t xml:space="preserve">we control for </w:t>
          </w:r>
          <w:r w:rsidR="00181197" w:rsidRPr="001542AD">
            <w:t>firm characteristics that might have given rise to different exposure to lockdowns</w:t>
          </w:r>
          <w:r w:rsidR="005B6A3C" w:rsidRPr="001542AD">
            <w:t xml:space="preserve"> to try to isolate the effect of border closures.</w:t>
          </w:r>
        </w:p>
        <w:p w14:paraId="4E310DB3" w14:textId="3555671F" w:rsidR="005F5456" w:rsidRDefault="00C264F2" w:rsidP="000B6766">
          <w:r>
            <w:t>Chart 1.2</w:t>
          </w:r>
          <w:r w:rsidR="00E85243">
            <w:t xml:space="preserve"> shows that the </w:t>
          </w:r>
          <w:r w:rsidR="0049076D">
            <w:t>firms most reliant on temporary migrants</w:t>
          </w:r>
          <w:r w:rsidR="0085130D">
            <w:t xml:space="preserve"> saw larger falls in employment and slower recoveries </w:t>
          </w:r>
          <w:r w:rsidR="00190FEC">
            <w:t xml:space="preserve">over </w:t>
          </w:r>
          <w:r w:rsidR="47B3F8E2">
            <w:t>Feb</w:t>
          </w:r>
          <w:r w:rsidR="00190FEC">
            <w:t xml:space="preserve"> 2020 to December 2022</w:t>
          </w:r>
          <w:r w:rsidR="0049076D">
            <w:t xml:space="preserve">. </w:t>
          </w:r>
          <w:r w:rsidR="00B15012">
            <w:t xml:space="preserve">While all </w:t>
          </w:r>
          <w:r w:rsidR="00315A5F">
            <w:t xml:space="preserve">cohorts of </w:t>
          </w:r>
          <w:r w:rsidR="00B15012">
            <w:t xml:space="preserve">firms </w:t>
          </w:r>
          <w:r w:rsidR="00315A5F">
            <w:t>examined</w:t>
          </w:r>
          <w:r w:rsidR="00F30067">
            <w:t xml:space="preserve"> recovered to above pre-COVID-19 levels by December 2022, the more migrant intensive firms still had lower employment levels for temporary migrants, offset by increased employment of domestic workers (Chart 1.3).</w:t>
          </w:r>
          <w:r w:rsidR="00A667A1">
            <w:rPr>
              <w:rStyle w:val="FootnoteReference"/>
            </w:rPr>
            <w:footnoteReference w:id="8"/>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3C5318" w:rsidRPr="00043BA3" w14:paraId="283682BD" w14:textId="77777777" w:rsidTr="005D5187">
            <w:tc>
              <w:tcPr>
                <w:tcW w:w="2500" w:type="pct"/>
              </w:tcPr>
              <w:p w14:paraId="5DEF2ABB" w14:textId="51F2C67C" w:rsidR="009C15E7" w:rsidRPr="002228D3" w:rsidRDefault="00130E29" w:rsidP="006B6887">
                <w:pPr>
                  <w:pStyle w:val="ChartMainHeading"/>
                  <w:rPr>
                    <w:szCs w:val="22"/>
                  </w:rPr>
                </w:pPr>
                <w:r w:rsidRPr="00130E29">
                  <w:lastRenderedPageBreak/>
                  <w:t xml:space="preserve">Change in jobs by firm reliance </w:t>
                </w:r>
                <w:r w:rsidR="000A2B13">
                  <w:t xml:space="preserve"> </w:t>
                </w:r>
                <w:r w:rsidRPr="00130E29">
                  <w:t>on temporary migrants, indexed to February 2020</w:t>
                </w:r>
              </w:p>
            </w:tc>
            <w:tc>
              <w:tcPr>
                <w:tcW w:w="2500" w:type="pct"/>
              </w:tcPr>
              <w:p w14:paraId="3B82E922" w14:textId="08214FEA" w:rsidR="003C5318" w:rsidRPr="00851A12" w:rsidRDefault="00851A12" w:rsidP="00851A12">
                <w:pPr>
                  <w:pStyle w:val="ChartMainHeading"/>
                </w:pPr>
                <w:r w:rsidRPr="00AF0F56">
                  <w:rPr>
                    <w:szCs w:val="22"/>
                  </w:rPr>
                  <w:t xml:space="preserve">STP jobs change, month ending December 2022 </w:t>
                </w:r>
                <w:r w:rsidR="00FD3BA2">
                  <w:rPr>
                    <w:szCs w:val="22"/>
                  </w:rPr>
                  <w:t>compared to</w:t>
                </w:r>
                <w:r w:rsidRPr="00AF0F56">
                  <w:rPr>
                    <w:szCs w:val="22"/>
                  </w:rPr>
                  <w:t xml:space="preserve"> February 2020</w:t>
                </w:r>
              </w:p>
            </w:tc>
          </w:tr>
          <w:tr w:rsidR="007F4D90" w:rsidRPr="002E7CBC" w14:paraId="7CFD18D4" w14:textId="77777777" w:rsidTr="00772CB5">
            <w:tblPrEx>
              <w:tblCellMar>
                <w:left w:w="108" w:type="dxa"/>
                <w:right w:w="108" w:type="dxa"/>
              </w:tblCellMar>
            </w:tblPrEx>
            <w:tc>
              <w:tcPr>
                <w:tcW w:w="2500" w:type="pct"/>
              </w:tcPr>
              <w:p w14:paraId="6F767E75" w14:textId="123AFFEE" w:rsidR="007F4D90" w:rsidRPr="002E7CBC" w:rsidRDefault="007C2294" w:rsidP="002E7CBC">
                <w:pPr>
                  <w:pStyle w:val="ChartGraphic"/>
                </w:pPr>
                <w:r>
                  <w:rPr>
                    <w:noProof/>
                  </w:rPr>
                  <w:drawing>
                    <wp:inline distT="0" distB="0" distL="0" distR="0" wp14:anchorId="7C7903B5" wp14:editId="5FDAE723">
                      <wp:extent cx="2705100" cy="2695575"/>
                      <wp:effectExtent l="0" t="0" r="0" b="9525"/>
                      <wp:docPr id="20" name="Graphic 20" descr="Change in jobs by firm reliance on temporary migrants, indexed to February 2020&#10;&#10;A line chart between February 2020 and December 2022 showing the change in jobs by firm reliance on temporary migrants, indexed to February 2020. Firms for which 40 per cent or more of the workforce were temporary migrants were more affected by the border closure as their workforce size fell by a larger proportion and took a longer time to 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hange in jobs by firm reliance on temporary migrants, indexed to February 2020&#10;&#10;A line chart between February 2020 and December 2022 showing the change in jobs by firm reliance on temporary migrants, indexed to February 2020. Firms for which 40 per cent or more of the workforce were temporary migrants were more affected by the border closure as their workforce size fell by a larger proportion and took a longer time to recover."/>
                              <pic:cNvPicPr/>
                            </pic:nvPicPr>
                            <pic:blipFill>
                              <a:blip r:embed="rId11">
                                <a:extLst>
                                  <a:ext uri="{96DAC541-7B7A-43D3-8B79-37D633B846F1}">
                                    <asvg:svgBlip xmlns:asvg="http://schemas.microsoft.com/office/drawing/2016/SVG/main" r:embed="rId12"/>
                                  </a:ext>
                                </a:extLst>
                              </a:blip>
                              <a:stretch>
                                <a:fillRect/>
                              </a:stretch>
                            </pic:blipFill>
                            <pic:spPr>
                              <a:xfrm>
                                <a:off x="0" y="0"/>
                                <a:ext cx="2705100" cy="2695575"/>
                              </a:xfrm>
                              <a:prstGeom prst="rect">
                                <a:avLst/>
                              </a:prstGeom>
                            </pic:spPr>
                          </pic:pic>
                        </a:graphicData>
                      </a:graphic>
                    </wp:inline>
                  </w:drawing>
                </w:r>
              </w:p>
            </w:tc>
            <w:tc>
              <w:tcPr>
                <w:tcW w:w="2500" w:type="pct"/>
              </w:tcPr>
              <w:p w14:paraId="2FDE44AB" w14:textId="50957E7F" w:rsidR="007F4D90" w:rsidRPr="002E7CBC" w:rsidRDefault="00772CB5" w:rsidP="002E7CBC">
                <w:pPr>
                  <w:pStyle w:val="ChartGraphic"/>
                </w:pPr>
                <w:r>
                  <w:rPr>
                    <w:noProof/>
                  </w:rPr>
                  <w:drawing>
                    <wp:inline distT="0" distB="0" distL="0" distR="0" wp14:anchorId="12229F83" wp14:editId="5A3A760F">
                      <wp:extent cx="2705100" cy="2695575"/>
                      <wp:effectExtent l="0" t="0" r="0" b="0"/>
                      <wp:docPr id="26" name="Graphic 26" descr="STP jobs change, month ending December 2022 compared to February 2020&#10;&#10;A column chart showing the percentage point change in jobs between December 2022 and February 2020, by reliance on temporary migrants. Firms most reliant on temporary migrants (40 per cent or more) experienced decreases in the number of temporary migrants. All groups showed increased employed of domestic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TP jobs change, month ending December 2022 compared to February 2020&#10;&#10;A column chart showing the percentage point change in jobs between December 2022 and February 2020, by reliance on temporary migrants. Firms most reliant on temporary migrants (40 per cent or more) experienced decreases in the number of temporary migrants. All groups showed increased employed of domestic workers. "/>
                              <pic:cNvPicPr/>
                            </pic:nvPicPr>
                            <pic:blipFill>
                              <a:blip r:embed="rId13">
                                <a:extLst>
                                  <a:ext uri="{96DAC541-7B7A-43D3-8B79-37D633B846F1}">
                                    <asvg:svgBlip xmlns:asvg="http://schemas.microsoft.com/office/drawing/2016/SVG/main" r:embed="rId14"/>
                                  </a:ext>
                                </a:extLst>
                              </a:blip>
                              <a:stretch>
                                <a:fillRect/>
                              </a:stretch>
                            </pic:blipFill>
                            <pic:spPr>
                              <a:xfrm>
                                <a:off x="0" y="0"/>
                                <a:ext cx="2705100" cy="2695575"/>
                              </a:xfrm>
                              <a:prstGeom prst="rect">
                                <a:avLst/>
                              </a:prstGeom>
                            </pic:spPr>
                          </pic:pic>
                        </a:graphicData>
                      </a:graphic>
                    </wp:inline>
                  </w:drawing>
                </w:r>
              </w:p>
            </w:tc>
          </w:tr>
          <w:tr w:rsidR="007F4D90" w:rsidRPr="004B648D" w14:paraId="70F1E9ED" w14:textId="77777777" w:rsidTr="005D5187">
            <w:tc>
              <w:tcPr>
                <w:tcW w:w="2500" w:type="pct"/>
              </w:tcPr>
              <w:p w14:paraId="1D9003C5" w14:textId="6D5D6E3D" w:rsidR="00554876" w:rsidRDefault="00554876" w:rsidP="005D5187">
                <w:pPr>
                  <w:pStyle w:val="Chartsource"/>
                </w:pPr>
                <w:r w:rsidRPr="004B648D">
                  <w:t>Source:</w:t>
                </w:r>
                <w:r w:rsidRPr="004B648D">
                  <w:tab/>
                  <w:t>Treasury analysis of tax and visa microdata.</w:t>
                </w:r>
              </w:p>
              <w:p w14:paraId="75036BCC" w14:textId="77777777" w:rsidR="00554876" w:rsidRDefault="007F4D90" w:rsidP="005D5187">
                <w:pPr>
                  <w:pStyle w:val="Chartsource"/>
                </w:pPr>
                <w:r w:rsidRPr="004B648D">
                  <w:t>Note:</w:t>
                </w:r>
                <w:r w:rsidR="00501363" w:rsidRPr="00501363">
                  <w:tab/>
                </w:r>
                <w:r w:rsidRPr="004B648D">
                  <w:t xml:space="preserve">Chart compares cohorts of firms with different </w:t>
                </w:r>
                <w:r w:rsidR="00592851">
                  <w:t xml:space="preserve">reliance </w:t>
                </w:r>
              </w:p>
              <w:p w14:paraId="1E881B43" w14:textId="4F9989E4" w:rsidR="00130E29" w:rsidRPr="004B648D" w:rsidRDefault="007F4D90" w:rsidP="00554876">
                <w:pPr>
                  <w:pStyle w:val="Chartsource"/>
                  <w:ind w:left="720"/>
                </w:pPr>
                <w:r w:rsidRPr="004B648D">
                  <w:t>on temporary migrants: 0</w:t>
                </w:r>
                <w:r w:rsidRPr="004B648D">
                  <w:noBreakHyphen/>
                  <w:t>10%, 10</w:t>
                </w:r>
                <w:r w:rsidRPr="004B648D">
                  <w:noBreakHyphen/>
                  <w:t>40%, 40</w:t>
                </w:r>
                <w:r w:rsidRPr="004B648D">
                  <w:noBreakHyphen/>
                  <w:t>70% or 70</w:t>
                </w:r>
                <w:r w:rsidRPr="004B648D">
                  <w:noBreakHyphen/>
                  <w:t>100% reliance.</w:t>
                </w:r>
              </w:p>
            </w:tc>
            <w:tc>
              <w:tcPr>
                <w:tcW w:w="2500" w:type="pct"/>
              </w:tcPr>
              <w:p w14:paraId="668AABE9" w14:textId="29871D98" w:rsidR="007F4D90" w:rsidRPr="004B648D" w:rsidRDefault="007F4D90" w:rsidP="005D5187">
                <w:pPr>
                  <w:pStyle w:val="Chartsource"/>
                </w:pPr>
                <w:r w:rsidRPr="004B648D">
                  <w:t>Source:</w:t>
                </w:r>
                <w:r w:rsidR="004B648D" w:rsidRPr="004B648D">
                  <w:tab/>
                </w:r>
                <w:r w:rsidRPr="004B648D">
                  <w:t>Treasury analysis of tax and visa microdata</w:t>
                </w:r>
              </w:p>
            </w:tc>
          </w:tr>
        </w:tbl>
        <w:p w14:paraId="0BC85800" w14:textId="77777777" w:rsidR="00130E29" w:rsidRDefault="00130E29" w:rsidP="00130E29">
          <w:pPr>
            <w:pStyle w:val="ChartTableFiguresectionline"/>
          </w:pPr>
        </w:p>
        <w:p w14:paraId="568D9B86" w14:textId="2C3AAE75" w:rsidR="006B4E48" w:rsidRDefault="008D2A3F" w:rsidP="008D2A3F">
          <w:r>
            <w:t xml:space="preserve">In Charts 1.4 and 1.5 I split the time period in two – the period while the border was closed </w:t>
          </w:r>
          <w:r w:rsidR="00746C60">
            <w:t>(</w:t>
          </w:r>
          <w:r w:rsidR="00373343">
            <w:t xml:space="preserve">from </w:t>
          </w:r>
          <w:r w:rsidR="00746C60">
            <w:t>Feb</w:t>
          </w:r>
          <w:r w:rsidR="00C27DC0">
            <w:t>ruary 2020</w:t>
          </w:r>
          <w:r w:rsidR="00DB746C">
            <w:t xml:space="preserve"> to November 2021</w:t>
          </w:r>
          <w:r w:rsidR="00C27DC0">
            <w:t>)</w:t>
          </w:r>
          <w:r>
            <w:t xml:space="preserve"> and the subsequent reopening</w:t>
          </w:r>
          <w:r w:rsidR="00C27DC0">
            <w:t xml:space="preserve"> (</w:t>
          </w:r>
          <w:r w:rsidR="00723544">
            <w:t xml:space="preserve">from </w:t>
          </w:r>
          <w:r w:rsidR="006F2760">
            <w:t xml:space="preserve">November </w:t>
          </w:r>
          <w:r w:rsidR="00C27DC0">
            <w:t>2021)</w:t>
          </w:r>
          <w:r>
            <w:t xml:space="preserve">. </w:t>
          </w:r>
          <w:r w:rsidR="002A77D1">
            <w:t xml:space="preserve">In </w:t>
          </w:r>
          <w:r w:rsidR="000B1C84">
            <w:t>Chart</w:t>
          </w:r>
          <w:r w:rsidR="00C303D4">
            <w:t> </w:t>
          </w:r>
          <w:r w:rsidR="000B1C84">
            <w:t>1.4,</w:t>
          </w:r>
          <w:r>
            <w:t xml:space="preserve"> Panel A shows that</w:t>
          </w:r>
          <w:r w:rsidR="000B1C84">
            <w:t xml:space="preserve"> firms that were highly reliant on temporary migrants prior to COVID</w:t>
          </w:r>
          <w:r w:rsidR="00C34305">
            <w:noBreakHyphen/>
          </w:r>
          <w:r w:rsidR="000B1C84">
            <w:t>19 adjusted by increasing employment of domestic workers</w:t>
          </w:r>
          <w:r>
            <w:t xml:space="preserve"> while borders were closed</w:t>
          </w:r>
          <w:r w:rsidR="00624A00">
            <w:t xml:space="preserve">. </w:t>
          </w:r>
          <w:r w:rsidR="00B44B10">
            <w:t>Chart 1.</w:t>
          </w:r>
          <w:r>
            <w:t>4, Panel B</w:t>
          </w:r>
          <w:r w:rsidR="00B44B10">
            <w:t xml:space="preserve"> shows that the remaining temporary migrants experienced growth in average pay</w:t>
          </w:r>
          <w:r w:rsidR="00365246">
            <w:t>, especially in highly reliant firms.</w:t>
          </w:r>
          <w:r w:rsidR="006772E1">
            <w:rPr>
              <w:rStyle w:val="FootnoteReference"/>
            </w:rPr>
            <w:footnoteReference w:id="9"/>
          </w:r>
          <w:r w:rsidR="00B44B10">
            <w:t xml:space="preserve"> This is likely explained by an increase in hours worked but could also be due to increased hourly wage</w:t>
          </w:r>
          <w:r w:rsidR="00B44B10" w:rsidRPr="00CE7535">
            <w:t>s.</w:t>
          </w:r>
          <w:r w:rsidR="00B44B10">
            <w:t xml:space="preserve"> </w:t>
          </w:r>
        </w:p>
        <w:p w14:paraId="69548181" w14:textId="0627ED19" w:rsidR="00EA14FA" w:rsidRDefault="00B44B10" w:rsidP="000B6766">
          <w:r>
            <w:t>Once the borders reopened, firms of all levels of migrant reliance were able to hire more temporary migrants.</w:t>
          </w:r>
          <w:r w:rsidR="005F547A">
            <w:t xml:space="preserve"> </w:t>
          </w:r>
          <w:r w:rsidR="005551C7">
            <w:t>This occurred in the context of temporary visa changes introduced as a response to COVID</w:t>
          </w:r>
          <w:r w:rsidR="00C34305">
            <w:noBreakHyphen/>
          </w:r>
          <w:r w:rsidR="005551C7">
            <w:t xml:space="preserve">19 workforce shortages. Student visa work hours restrictions were temporarily relaxed and then removed until 30 June 2023, and the Pandemic Event Visa </w:t>
          </w:r>
          <w:r w:rsidR="00594569">
            <w:t>allowed people to remain temporarily in Australia if they were working or had a job offer to work in any sector in the economy</w:t>
          </w:r>
          <w:r w:rsidR="002E5EE3">
            <w:t>, with no restrictions on hours</w:t>
          </w:r>
          <w:r w:rsidR="005F75D1">
            <w:t xml:space="preserve">. </w:t>
          </w:r>
          <w:r w:rsidR="005551C7">
            <w:t>This supports the idea that the growth in average pay was as a result of an increase in hours worked.</w:t>
          </w:r>
          <w:r w:rsidR="003C74F6">
            <w:t xml:space="preserve"> </w:t>
          </w:r>
          <w:r>
            <w:t>However, once the borders reopened</w:t>
          </w:r>
          <w:r w:rsidR="00A92D88">
            <w:t xml:space="preserve"> in November 2021</w:t>
          </w:r>
          <w:r>
            <w:t xml:space="preserve">, </w:t>
          </w:r>
          <w:r w:rsidR="009843EC">
            <w:t>in the period through to December 2022</w:t>
          </w:r>
          <w:r>
            <w:t xml:space="preserve"> there was a large increase in </w:t>
          </w:r>
          <w:r w:rsidR="000349E9">
            <w:t xml:space="preserve">the </w:t>
          </w:r>
          <w:r>
            <w:t>number of jobs for temporary migrants across firms of all migrant shares with larger increases among firms with</w:t>
          </w:r>
          <w:r w:rsidR="00C15994">
            <w:t xml:space="preserve"> previously</w:t>
          </w:r>
          <w:r>
            <w:t xml:space="preserve"> higher migrant shares (Chart 1.</w:t>
          </w:r>
          <w:r w:rsidR="00C15994">
            <w:t>5, Panel A</w:t>
          </w:r>
          <w:r>
            <w:t>). On the pay side, this resulted in the average pay of temporary migrants declin</w:t>
          </w:r>
          <w:r w:rsidR="003E2968">
            <w:t>ing</w:t>
          </w:r>
          <w:r w:rsidR="00470890">
            <w:t xml:space="preserve">, </w:t>
          </w:r>
          <w:r>
            <w:t>particularly among migrant reliant firms (Chart 1.</w:t>
          </w:r>
          <w:r w:rsidR="00C15994">
            <w:t xml:space="preserve">5, </w:t>
          </w:r>
          <w:r w:rsidR="007E2ACB">
            <w:t>Panel</w:t>
          </w:r>
          <w:r w:rsidR="00C15994">
            <w:t xml:space="preserve"> B</w:t>
          </w:r>
          <w:r>
            <w:t>).</w:t>
          </w:r>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489"/>
            <w:gridCol w:w="4490"/>
          </w:tblGrid>
          <w:tr w:rsidR="00EA14FA" w:rsidRPr="005043B5" w14:paraId="79C0882F" w14:textId="77777777" w:rsidTr="00EA14FA">
            <w:trPr>
              <w:tblHeader/>
            </w:trPr>
            <w:tc>
              <w:tcPr>
                <w:tcW w:w="5000" w:type="pct"/>
                <w:gridSpan w:val="2"/>
              </w:tcPr>
              <w:p w14:paraId="3D33729B" w14:textId="77777777" w:rsidR="00EA14FA" w:rsidRPr="005043B5" w:rsidRDefault="00EA14FA" w:rsidP="008C47F3">
                <w:pPr>
                  <w:pStyle w:val="ChartMainHeading"/>
                </w:pPr>
                <w:r>
                  <w:lastRenderedPageBreak/>
                  <w:t>Changes while border closed (</w:t>
                </w:r>
                <w:r w:rsidRPr="00AF0F56">
                  <w:t xml:space="preserve">November 2021 </w:t>
                </w:r>
                <w:r>
                  <w:t>compared to</w:t>
                </w:r>
                <w:r w:rsidRPr="00AF0F56">
                  <w:t xml:space="preserve"> February 2020</w:t>
                </w:r>
                <w:r>
                  <w:t>), by firm pre-</w:t>
                </w:r>
                <w:r w:rsidRPr="005B533A">
                  <w:t>COVID</w:t>
                </w:r>
                <w:r>
                  <w:t xml:space="preserve">-19 temporary migrant workforce shares </w:t>
                </w:r>
              </w:p>
            </w:tc>
          </w:tr>
          <w:tr w:rsidR="00EA14FA" w:rsidRPr="00147BBA" w14:paraId="14C15D84" w14:textId="77777777" w:rsidTr="00EA14FA">
            <w:trPr>
              <w:tblHeader/>
            </w:trPr>
            <w:tc>
              <w:tcPr>
                <w:tcW w:w="2500" w:type="pct"/>
              </w:tcPr>
              <w:p w14:paraId="6A357825" w14:textId="77777777" w:rsidR="00EA14FA" w:rsidRPr="00147BBA" w:rsidRDefault="00EA14FA" w:rsidP="00EA14FA">
                <w:pPr>
                  <w:pStyle w:val="ChartSecondHeading"/>
                  <w:jc w:val="center"/>
                </w:pPr>
                <w:r w:rsidRPr="00147BBA">
                  <w:t>Panel A: STP jobs change</w:t>
                </w:r>
              </w:p>
            </w:tc>
            <w:tc>
              <w:tcPr>
                <w:tcW w:w="2500" w:type="pct"/>
              </w:tcPr>
              <w:p w14:paraId="204F1410" w14:textId="77777777" w:rsidR="00EA14FA" w:rsidRPr="00147BBA" w:rsidRDefault="00EA14FA" w:rsidP="00EA14FA">
                <w:pPr>
                  <w:pStyle w:val="ChartSecondHeading"/>
                  <w:jc w:val="center"/>
                </w:pPr>
                <w:r w:rsidRPr="00147BBA">
                  <w:t>Panel B: STP average pay change</w:t>
                </w:r>
              </w:p>
            </w:tc>
          </w:tr>
          <w:tr w:rsidR="00EA14FA" w14:paraId="34B8CEA8" w14:textId="77777777" w:rsidTr="00EA14FA">
            <w:trPr>
              <w:tblHeader/>
            </w:trPr>
            <w:tc>
              <w:tcPr>
                <w:tcW w:w="2500" w:type="pct"/>
              </w:tcPr>
              <w:p w14:paraId="592D512A" w14:textId="77777777" w:rsidR="00EA14FA" w:rsidRDefault="00EA14FA" w:rsidP="008C47F3">
                <w:pPr>
                  <w:pStyle w:val="ChartGraphic"/>
                </w:pPr>
                <w:r>
                  <w:rPr>
                    <w:noProof/>
                  </w:rPr>
                  <w:drawing>
                    <wp:inline distT="0" distB="0" distL="0" distR="0" wp14:anchorId="2F281B98" wp14:editId="552B31B5">
                      <wp:extent cx="2700000" cy="2733197"/>
                      <wp:effectExtent l="0" t="0" r="5715" b="0"/>
                      <wp:docPr id="42" name="Graphic 42" descr="STP jobs change, month ending November 2021 compared to February 2020 &#10;&#10;The column chart shows that firms that were highly reliant on temporary migrants prior to COVID-19 adjusted by increasing employment of domestic workers while borders were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STP jobs change, month ending November 2021 compared to February 2020 &#10;&#10;The column chart shows that firms that were highly reliant on temporary migrants prior to COVID-19 adjusted by increasing employment of domestic workers while borders were closed."/>
                              <pic:cNvPicPr/>
                            </pic:nvPicPr>
                            <pic:blipFill>
                              <a:blip r:embed="rId15">
                                <a:extLst>
                                  <a:ext uri="{96DAC541-7B7A-43D3-8B79-37D633B846F1}">
                                    <asvg:svgBlip xmlns:asvg="http://schemas.microsoft.com/office/drawing/2016/SVG/main" r:embed="rId16"/>
                                  </a:ext>
                                </a:extLst>
                              </a:blip>
                              <a:stretch>
                                <a:fillRect/>
                              </a:stretch>
                            </pic:blipFill>
                            <pic:spPr>
                              <a:xfrm>
                                <a:off x="0" y="0"/>
                                <a:ext cx="2700000" cy="2733197"/>
                              </a:xfrm>
                              <a:prstGeom prst="rect">
                                <a:avLst/>
                              </a:prstGeom>
                            </pic:spPr>
                          </pic:pic>
                        </a:graphicData>
                      </a:graphic>
                    </wp:inline>
                  </w:drawing>
                </w:r>
              </w:p>
            </w:tc>
            <w:tc>
              <w:tcPr>
                <w:tcW w:w="2500" w:type="pct"/>
              </w:tcPr>
              <w:p w14:paraId="3A8FABA6" w14:textId="77777777" w:rsidR="00EA14FA" w:rsidRDefault="00EA14FA" w:rsidP="008C47F3">
                <w:pPr>
                  <w:pStyle w:val="ChartGraphic"/>
                </w:pPr>
                <w:r>
                  <w:rPr>
                    <w:noProof/>
                  </w:rPr>
                  <w:drawing>
                    <wp:inline distT="0" distB="0" distL="0" distR="0" wp14:anchorId="04AF6B07" wp14:editId="7E5B453E">
                      <wp:extent cx="2700000" cy="2733197"/>
                      <wp:effectExtent l="0" t="0" r="5715" b="0"/>
                      <wp:docPr id="43" name="Graphic 43" descr="STP average pay change, month ending November 2021 compared to February 2020 &#10;&#10;The column chart shows the average pay change between November 2023 and February 2020, by worker type. Workers are classed as domestic workers or temporary migrants. Firms most reliant on temporary migrants experienced increases in average pay change for temporary migrants than firms less-reliant on temporary migrants. Firms with a 70-100 per cent reliance on temporary migrants had average pay changes of around 50 per cent for temporary mi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STP average pay change, month ending November 2021 compared to February 2020 &#10;&#10;The column chart shows the average pay change between November 2023 and February 2020, by worker type. Workers are classed as domestic workers or temporary migrants. Firms most reliant on temporary migrants experienced increases in average pay change for temporary migrants than firms less-reliant on temporary migrants. Firms with a 70-100 per cent reliance on temporary migrants had average pay changes of around 50 per cent for temporary migrants. "/>
                              <pic:cNvPicPr/>
                            </pic:nvPicPr>
                            <pic:blipFill>
                              <a:blip r:embed="rId17">
                                <a:extLst>
                                  <a:ext uri="{96DAC541-7B7A-43D3-8B79-37D633B846F1}">
                                    <asvg:svgBlip xmlns:asvg="http://schemas.microsoft.com/office/drawing/2016/SVG/main" r:embed="rId18"/>
                                  </a:ext>
                                </a:extLst>
                              </a:blip>
                              <a:stretch>
                                <a:fillRect/>
                              </a:stretch>
                            </pic:blipFill>
                            <pic:spPr>
                              <a:xfrm>
                                <a:off x="0" y="0"/>
                                <a:ext cx="2700000" cy="2733197"/>
                              </a:xfrm>
                              <a:prstGeom prst="rect">
                                <a:avLst/>
                              </a:prstGeom>
                            </pic:spPr>
                          </pic:pic>
                        </a:graphicData>
                      </a:graphic>
                    </wp:inline>
                  </w:drawing>
                </w:r>
              </w:p>
            </w:tc>
          </w:tr>
          <w:tr w:rsidR="00EA14FA" w:rsidRPr="00147BBA" w14:paraId="2F3184F0" w14:textId="77777777" w:rsidTr="00EA14FA">
            <w:tc>
              <w:tcPr>
                <w:tcW w:w="2500" w:type="pct"/>
              </w:tcPr>
              <w:p w14:paraId="30DCC438" w14:textId="77777777" w:rsidR="00EA14FA" w:rsidRPr="00147BBA" w:rsidRDefault="00EA14FA" w:rsidP="008C47F3">
                <w:pPr>
                  <w:pStyle w:val="ChartTableFigureNoteorSource"/>
                </w:pPr>
                <w:r w:rsidRPr="00147BBA">
                  <w:t xml:space="preserve">Source: </w:t>
                </w:r>
                <w:r w:rsidRPr="00147BBA">
                  <w:tab/>
                  <w:t>Treasury analysis of tax and visa microdata.</w:t>
                </w:r>
              </w:p>
            </w:tc>
            <w:tc>
              <w:tcPr>
                <w:tcW w:w="2500" w:type="pct"/>
              </w:tcPr>
              <w:p w14:paraId="2060733C" w14:textId="77777777" w:rsidR="00EA14FA" w:rsidRPr="00147BBA" w:rsidRDefault="00EA14FA" w:rsidP="008C47F3">
                <w:pPr>
                  <w:pStyle w:val="ChartTableFigureNoteorSource"/>
                </w:pPr>
                <w:r w:rsidRPr="00147BBA">
                  <w:t xml:space="preserve">Source: </w:t>
                </w:r>
                <w:r w:rsidRPr="00147BBA">
                  <w:tab/>
                  <w:t>Treasury analysis of tax and visa microdata.</w:t>
                </w:r>
              </w:p>
            </w:tc>
          </w:tr>
          <w:tr w:rsidR="00EA14FA" w14:paraId="3391E100" w14:textId="77777777" w:rsidTr="00EA14FA">
            <w:trPr>
              <w:tblHeader/>
            </w:trPr>
            <w:tc>
              <w:tcPr>
                <w:tcW w:w="5000" w:type="pct"/>
                <w:gridSpan w:val="2"/>
              </w:tcPr>
              <w:p w14:paraId="2B09D735" w14:textId="77777777" w:rsidR="00EA14FA" w:rsidRDefault="00EA14FA" w:rsidP="008C47F3">
                <w:pPr>
                  <w:pStyle w:val="ChartMainHeading"/>
                  <w:spacing w:before="240"/>
                </w:pPr>
                <w:r w:rsidRPr="002F2B55">
                  <w:t>Changes after border reopened (December 2022 compared to November</w:t>
                </w:r>
                <w:r>
                  <w:t> </w:t>
                </w:r>
                <w:r w:rsidRPr="002F2B55">
                  <w:t>2021), by firm pre COVID</w:t>
                </w:r>
                <w:r>
                  <w:t>-</w:t>
                </w:r>
                <w:r w:rsidRPr="002F2B55">
                  <w:t>19 temporary migrant workforce shares</w:t>
                </w:r>
              </w:p>
            </w:tc>
          </w:tr>
          <w:tr w:rsidR="00EA14FA" w:rsidRPr="00AF0F56" w14:paraId="394C2C5B" w14:textId="77777777" w:rsidTr="00EA14FA">
            <w:tc>
              <w:tcPr>
                <w:tcW w:w="2500" w:type="pct"/>
              </w:tcPr>
              <w:p w14:paraId="7E71812E" w14:textId="65C5DA1D" w:rsidR="00EA14FA" w:rsidRPr="00AF0F56" w:rsidRDefault="00EA14FA" w:rsidP="00EA14FA">
                <w:pPr>
                  <w:pStyle w:val="ChartSecondHeading"/>
                  <w:jc w:val="center"/>
                </w:pPr>
                <w:r>
                  <w:t xml:space="preserve">Panel A: </w:t>
                </w:r>
                <w:r w:rsidRPr="00AF0F56">
                  <w:t>STP jobs change</w:t>
                </w:r>
              </w:p>
            </w:tc>
            <w:tc>
              <w:tcPr>
                <w:tcW w:w="2500" w:type="pct"/>
              </w:tcPr>
              <w:p w14:paraId="6375CD27" w14:textId="77777777" w:rsidR="00EA14FA" w:rsidRPr="00AF0F56" w:rsidRDefault="00EA14FA" w:rsidP="00EA14FA">
                <w:pPr>
                  <w:pStyle w:val="ChartSecondHeading"/>
                  <w:jc w:val="center"/>
                </w:pPr>
                <w:r>
                  <w:t xml:space="preserve">Panel B: STP </w:t>
                </w:r>
                <w:r w:rsidRPr="00AF0F56">
                  <w:t>average pay change</w:t>
                </w:r>
              </w:p>
            </w:tc>
          </w:tr>
          <w:tr w:rsidR="00EA14FA" w14:paraId="3C47464A" w14:textId="77777777" w:rsidTr="00EA14FA">
            <w:tblPrEx>
              <w:tblCellMar>
                <w:left w:w="108" w:type="dxa"/>
                <w:right w:w="108" w:type="dxa"/>
              </w:tblCellMar>
            </w:tblPrEx>
            <w:tc>
              <w:tcPr>
                <w:tcW w:w="2500" w:type="pct"/>
              </w:tcPr>
              <w:p w14:paraId="3A4E7B12" w14:textId="77777777" w:rsidR="00EA14FA" w:rsidRPr="0066088B" w:rsidRDefault="00EA14FA" w:rsidP="008C47F3">
                <w:r>
                  <w:rPr>
                    <w:noProof/>
                  </w:rPr>
                  <w:drawing>
                    <wp:inline distT="0" distB="0" distL="0" distR="0" wp14:anchorId="7D15A232" wp14:editId="48CAC693">
                      <wp:extent cx="2700000" cy="2722040"/>
                      <wp:effectExtent l="0" t="0" r="5715" b="2540"/>
                      <wp:docPr id="44" name="Graphic 44" descr="STP jobs change, month ending  December 2022 compared to November 2021&#10;&#10;The column chart shows the change in jobs between December 2022 and November 2021, by worker type. Workers are classed as domestic workers or temporary migrants. &#10;All groups had increases in jobs, with temporary migrants making up larger changes.&#10;Firms most reliant on temporary migrants experienced larger increases for temporary migrants than firms less-reliant on temporary mi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STP jobs change, month ending  December 2022 compared to November 2021&#10;&#10;The column chart shows the change in jobs between December 2022 and November 2021, by worker type. Workers are classed as domestic workers or temporary migrants. &#10;All groups had increases in jobs, with temporary migrants making up larger changes.&#10;Firms most reliant on temporary migrants experienced larger increases for temporary migrants than firms less-reliant on temporary migrants. "/>
                              <pic:cNvPicPr/>
                            </pic:nvPicPr>
                            <pic:blipFill>
                              <a:blip r:embed="rId19">
                                <a:extLst>
                                  <a:ext uri="{96DAC541-7B7A-43D3-8B79-37D633B846F1}">
                                    <asvg:svgBlip xmlns:asvg="http://schemas.microsoft.com/office/drawing/2016/SVG/main" r:embed="rId20"/>
                                  </a:ext>
                                </a:extLst>
                              </a:blip>
                              <a:stretch>
                                <a:fillRect/>
                              </a:stretch>
                            </pic:blipFill>
                            <pic:spPr>
                              <a:xfrm>
                                <a:off x="0" y="0"/>
                                <a:ext cx="2700000" cy="2722040"/>
                              </a:xfrm>
                              <a:prstGeom prst="rect">
                                <a:avLst/>
                              </a:prstGeom>
                            </pic:spPr>
                          </pic:pic>
                        </a:graphicData>
                      </a:graphic>
                    </wp:inline>
                  </w:drawing>
                </w:r>
              </w:p>
            </w:tc>
            <w:tc>
              <w:tcPr>
                <w:tcW w:w="2500" w:type="pct"/>
              </w:tcPr>
              <w:p w14:paraId="6FD43D79" w14:textId="77777777" w:rsidR="00EA14FA" w:rsidRDefault="00EA14FA" w:rsidP="008C47F3">
                <w:r>
                  <w:rPr>
                    <w:noProof/>
                  </w:rPr>
                  <w:drawing>
                    <wp:inline distT="0" distB="0" distL="0" distR="0" wp14:anchorId="053F0949" wp14:editId="079F80F8">
                      <wp:extent cx="2700000" cy="2744628"/>
                      <wp:effectExtent l="0" t="0" r="5715" b="0"/>
                      <wp:docPr id="45" name="Graphic 45" descr="STP average pay change, month ending 2022 compared to November 2021&#10;&#10;The column chart shows average pay change between December 2022 and November 2021, by worker type. Workers are classed as domestic workers or temporary migrants. &#10;Firms with higher reliance on temporary migrants experienced larger average pay decreases for temporary migrants. Firms with 70-100 per cent reliance on temporary migrants had average pay decreases of 18 per cent, and average pay increases of 14 per cent for domestic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STP average pay change, month ending 2022 compared to November 2021&#10;&#10;The column chart shows average pay change between December 2022 and November 2021, by worker type. Workers are classed as domestic workers or temporary migrants. &#10;Firms with higher reliance on temporary migrants experienced larger average pay decreases for temporary migrants. Firms with 70-100 per cent reliance on temporary migrants had average pay decreases of 18 per cent, and average pay increases of 14 per cent for domestic workers. "/>
                              <pic:cNvPicPr/>
                            </pic:nvPicPr>
                            <pic:blipFill>
                              <a:blip r:embed="rId21">
                                <a:extLst>
                                  <a:ext uri="{96DAC541-7B7A-43D3-8B79-37D633B846F1}">
                                    <asvg:svgBlip xmlns:asvg="http://schemas.microsoft.com/office/drawing/2016/SVG/main" r:embed="rId22"/>
                                  </a:ext>
                                </a:extLst>
                              </a:blip>
                              <a:stretch>
                                <a:fillRect/>
                              </a:stretch>
                            </pic:blipFill>
                            <pic:spPr>
                              <a:xfrm>
                                <a:off x="0" y="0"/>
                                <a:ext cx="2700000" cy="2744628"/>
                              </a:xfrm>
                              <a:prstGeom prst="rect">
                                <a:avLst/>
                              </a:prstGeom>
                            </pic:spPr>
                          </pic:pic>
                        </a:graphicData>
                      </a:graphic>
                    </wp:inline>
                  </w:drawing>
                </w:r>
              </w:p>
            </w:tc>
          </w:tr>
          <w:tr w:rsidR="00EA14FA" w:rsidRPr="004B648D" w14:paraId="1B413201" w14:textId="77777777" w:rsidTr="00EA14FA">
            <w:trPr>
              <w:trHeight w:val="322"/>
            </w:trPr>
            <w:tc>
              <w:tcPr>
                <w:tcW w:w="2500" w:type="pct"/>
              </w:tcPr>
              <w:p w14:paraId="15605E20" w14:textId="77777777" w:rsidR="00EA14FA" w:rsidRPr="00013B87" w:rsidRDefault="00EA14FA" w:rsidP="008C47F3">
                <w:pPr>
                  <w:pStyle w:val="ChartTableFigureNoteorSource"/>
                </w:pPr>
                <w:r w:rsidRPr="001C423B">
                  <w:t xml:space="preserve">Source: </w:t>
                </w:r>
                <w:r w:rsidRPr="001C423B">
                  <w:tab/>
                  <w:t>Treasury analysis of tax and visa microdata.</w:t>
                </w:r>
              </w:p>
            </w:tc>
            <w:tc>
              <w:tcPr>
                <w:tcW w:w="2500" w:type="pct"/>
              </w:tcPr>
              <w:p w14:paraId="2D07B1EA" w14:textId="77777777" w:rsidR="00EA14FA" w:rsidRPr="004B648D" w:rsidRDefault="00EA14FA" w:rsidP="008C47F3">
                <w:pPr>
                  <w:pStyle w:val="ChartTableFigureNoteorSource"/>
                </w:pPr>
                <w:r w:rsidRPr="006E0141">
                  <w:t xml:space="preserve">Source: </w:t>
                </w:r>
                <w:r w:rsidRPr="004B648D">
                  <w:tab/>
                </w:r>
                <w:r w:rsidRPr="006E0141">
                  <w:t>Treasury analysis of tax and visa microdata.</w:t>
                </w:r>
              </w:p>
            </w:tc>
          </w:tr>
        </w:tbl>
        <w:p w14:paraId="22A3D1D7" w14:textId="77777777" w:rsidR="00105E24" w:rsidRDefault="00105E24" w:rsidP="00105E24">
          <w:pPr>
            <w:pStyle w:val="ChartTableFiguresectionline"/>
            <w:jc w:val="left"/>
          </w:pPr>
        </w:p>
        <w:p w14:paraId="5BC78655" w14:textId="49B6E8B3" w:rsidR="00D26C36" w:rsidRDefault="002B6426" w:rsidP="003C5318">
          <w:r>
            <w:lastRenderedPageBreak/>
            <w:t>Charts 1.6 and 1.7</w:t>
          </w:r>
          <w:r w:rsidR="006448B1" w:rsidDel="007B5849">
            <w:t xml:space="preserve"> </w:t>
          </w:r>
          <w:r w:rsidR="003C5318" w:rsidRPr="00B31802">
            <w:t>compare change</w:t>
          </w:r>
          <w:r w:rsidR="006448B1">
            <w:t>s</w:t>
          </w:r>
          <w:r w:rsidR="003C5318" w:rsidRPr="00B31802">
            <w:t xml:space="preserve"> in</w:t>
          </w:r>
          <w:r w:rsidR="003C5318">
            <w:t xml:space="preserve"> employment and turnover over time for firms with different levels of reliance on temporary migrants prior to COVID</w:t>
          </w:r>
          <w:r w:rsidR="00C34305">
            <w:noBreakHyphen/>
          </w:r>
          <w:r w:rsidR="003C5318">
            <w:t>19</w:t>
          </w:r>
          <w:r w:rsidR="002917FC">
            <w:t xml:space="preserve"> –</w:t>
          </w:r>
          <w:r w:rsidR="003C5318">
            <w:t xml:space="preserve"> after controlling for industry, location</w:t>
          </w:r>
          <w:r w:rsidR="00AB1BC5">
            <w:t>,</w:t>
          </w:r>
          <w:r w:rsidR="003C5318">
            <w:t xml:space="preserve"> and firm size</w:t>
          </w:r>
          <w:r w:rsidR="00AB1BC5">
            <w:t>.</w:t>
          </w:r>
          <w:r w:rsidR="003C5318">
            <w:t xml:space="preserve"> By controlling for these characteristics, </w:t>
          </w:r>
          <w:r w:rsidR="006C418C">
            <w:t xml:space="preserve">it </w:t>
          </w:r>
          <w:r w:rsidR="000C6504">
            <w:t xml:space="preserve">is </w:t>
          </w:r>
          <w:r w:rsidR="006C418C">
            <w:t>possible</w:t>
          </w:r>
          <w:r w:rsidR="003C5318">
            <w:t xml:space="preserve"> to assess similar firms operating in the same industry within the same local labour market area and</w:t>
          </w:r>
          <w:r w:rsidR="006459BA">
            <w:t>,</w:t>
          </w:r>
          <w:r w:rsidR="003C5318">
            <w:t xml:space="preserve"> therefore</w:t>
          </w:r>
          <w:r w:rsidR="006459BA">
            <w:t>,</w:t>
          </w:r>
          <w:r w:rsidR="003C5318">
            <w:t xml:space="preserve"> </w:t>
          </w:r>
          <w:r w:rsidR="00DE166A">
            <w:t xml:space="preserve">likely </w:t>
          </w:r>
          <w:r w:rsidR="003C5318">
            <w:t>exposed to similar</w:t>
          </w:r>
          <w:r w:rsidR="00DE166A">
            <w:t xml:space="preserve"> lockdown restrictions and</w:t>
          </w:r>
          <w:r w:rsidR="003C5318">
            <w:t xml:space="preserve"> changes in demand. </w:t>
          </w:r>
        </w:p>
        <w:p w14:paraId="58013BCF" w14:textId="16BFD627" w:rsidR="00846510" w:rsidRDefault="003C5318" w:rsidP="00D72105">
          <w:pPr>
            <w:rPr>
              <w:vertAlign w:val="superscript"/>
            </w:rPr>
          </w:pPr>
          <w:r>
            <w:t>In firms where more than 40</w:t>
          </w:r>
          <w:r w:rsidR="004541B3">
            <w:t> per cent </w:t>
          </w:r>
          <w:r>
            <w:t xml:space="preserve">of employees </w:t>
          </w:r>
          <w:r w:rsidR="006225B1">
            <w:t xml:space="preserve">had been </w:t>
          </w:r>
          <w:r>
            <w:t>temporary migrants, employment declined by more than 20</w:t>
          </w:r>
          <w:r w:rsidR="004541B3">
            <w:t> per cent</w:t>
          </w:r>
          <w:r>
            <w:t xml:space="preserve"> in early 2020 and recovered more slowly prior to the Delta outbreaks in late 2021</w:t>
          </w:r>
          <w:r w:rsidR="004E3113">
            <w:t xml:space="preserve"> (Chart 1.</w:t>
          </w:r>
          <w:r w:rsidR="00FA39B3">
            <w:t>6)</w:t>
          </w:r>
          <w:r>
            <w:t xml:space="preserve">. </w:t>
          </w:r>
          <w:r w:rsidR="00252EA8">
            <w:t>T</w:t>
          </w:r>
          <w:r>
            <w:t xml:space="preserve">he turnover of these firms also decreased by </w:t>
          </w:r>
          <w:r w:rsidR="00C9325D">
            <w:t xml:space="preserve">around </w:t>
          </w:r>
          <w:r>
            <w:t>18</w:t>
          </w:r>
          <w:r w:rsidR="004541B3">
            <w:t> per cent</w:t>
          </w:r>
          <w:r w:rsidR="00FA39B3">
            <w:t xml:space="preserve"> (Chart 1.7)</w:t>
          </w:r>
          <w:r>
            <w:t xml:space="preserve">. This indicates that firms highly reliant on temporary migrant workers partly compensated for the decline in workers through finding other sources of labour or capital, but </w:t>
          </w:r>
          <w:r w:rsidR="00702B03">
            <w:t xml:space="preserve">some </w:t>
          </w:r>
          <w:r>
            <w:t>also responded by decreasing their output.</w:t>
          </w:r>
          <w:r w:rsidRPr="00296B3F">
            <w:rPr>
              <w:rStyle w:val="FootnoteReference"/>
            </w:rPr>
            <w:footnoteReference w:id="10"/>
          </w:r>
          <w:r w:rsidRPr="00802110">
            <w:rPr>
              <w:vertAlign w:val="superscript"/>
            </w:rPr>
            <w:t>,</w:t>
          </w:r>
          <w:r>
            <w:rPr>
              <w:vertAlign w:val="superscript"/>
            </w:rPr>
            <w:t xml:space="preserve"> </w:t>
          </w:r>
          <w:r>
            <w:rPr>
              <w:rStyle w:val="FootnoteReference"/>
            </w:rPr>
            <w:footnoteReference w:id="11"/>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5"/>
          </w:tblGrid>
          <w:tr w:rsidR="00AD3D89" w:rsidRPr="00AF0F56" w14:paraId="6128A863" w14:textId="77777777" w:rsidTr="00413B6A">
            <w:trPr>
              <w:trHeight w:val="20"/>
            </w:trPr>
            <w:tc>
              <w:tcPr>
                <w:tcW w:w="2500" w:type="pct"/>
                <w:shd w:val="clear" w:color="auto" w:fill="FFFFFF" w:themeFill="background1"/>
              </w:tcPr>
              <w:p w14:paraId="2C3FE1BE" w14:textId="2BEA9B73" w:rsidR="00AD3D89" w:rsidRPr="00AF0F56" w:rsidRDefault="009C4630" w:rsidP="004B592C">
                <w:pPr>
                  <w:pStyle w:val="ChartMainHeading"/>
                </w:pPr>
                <w:r w:rsidRPr="00AF0F56">
                  <w:t>Change in employment, by</w:t>
                </w:r>
                <w:r w:rsidR="00AF0F56">
                  <w:t> </w:t>
                </w:r>
                <w:r w:rsidRPr="00AF0F56">
                  <w:t>firm</w:t>
                </w:r>
                <w:r w:rsidR="00323874" w:rsidRPr="00AF0F56">
                  <w:t> </w:t>
                </w:r>
                <w:r w:rsidRPr="00AF0F56">
                  <w:t>temporary migrant reliance</w:t>
                </w:r>
                <w:r w:rsidR="001667E7" w:rsidRPr="00AF0F56">
                  <w:t xml:space="preserve"> </w:t>
                </w:r>
              </w:p>
            </w:tc>
            <w:tc>
              <w:tcPr>
                <w:tcW w:w="2500" w:type="pct"/>
                <w:shd w:val="clear" w:color="auto" w:fill="FFFFFF" w:themeFill="background1"/>
              </w:tcPr>
              <w:p w14:paraId="29C40CB8" w14:textId="75B20A51" w:rsidR="00AD3D89" w:rsidRPr="00AF0F56" w:rsidRDefault="009C4630" w:rsidP="00154ACF">
                <w:pPr>
                  <w:pStyle w:val="ChartMainHeading"/>
                </w:pPr>
                <w:r w:rsidRPr="00AF0F56">
                  <w:t xml:space="preserve">Change in </w:t>
                </w:r>
                <w:r w:rsidR="006A7C2C" w:rsidRPr="00AF0F56">
                  <w:t xml:space="preserve">quarterly </w:t>
                </w:r>
                <w:r w:rsidRPr="00AF0F56">
                  <w:t>turnover, by</w:t>
                </w:r>
                <w:r w:rsidR="00AF0F56">
                  <w:t> </w:t>
                </w:r>
                <w:r w:rsidRPr="00AF0F56">
                  <w:t>firm</w:t>
                </w:r>
                <w:r w:rsidR="00AF0F56">
                  <w:t> </w:t>
                </w:r>
                <w:r w:rsidRPr="00AF0F56">
                  <w:t>temporary migr</w:t>
                </w:r>
                <w:r w:rsidR="003913DA" w:rsidRPr="00AF0F56">
                  <w:t>ant reliance</w:t>
                </w:r>
                <w:r w:rsidR="00C927CE" w:rsidRPr="00AF0F56">
                  <w:t xml:space="preserve"> </w:t>
                </w:r>
              </w:p>
            </w:tc>
          </w:tr>
          <w:tr w:rsidR="00AD3D89" w14:paraId="2783D7C7" w14:textId="77777777" w:rsidTr="00413B6A">
            <w:trPr>
              <w:trHeight w:val="20"/>
            </w:trPr>
            <w:tc>
              <w:tcPr>
                <w:tcW w:w="2500" w:type="pct"/>
              </w:tcPr>
              <w:p w14:paraId="6FD0CAFC" w14:textId="47A0E7A0" w:rsidR="003913DA" w:rsidRPr="00B11C5D" w:rsidRDefault="001667E7" w:rsidP="004B648D">
                <w:pPr>
                  <w:pStyle w:val="ChartGraphic"/>
                  <w:spacing w:after="120"/>
                </w:pPr>
                <w:r w:rsidRPr="00323874">
                  <w:rPr>
                    <w:noProof/>
                  </w:rPr>
                  <w:drawing>
                    <wp:inline distT="0" distB="0" distL="0" distR="0" wp14:anchorId="4DA98A61" wp14:editId="62BE9AF3">
                      <wp:extent cx="2736000" cy="2736000"/>
                      <wp:effectExtent l="0" t="0" r="0" b="7620"/>
                      <wp:docPr id="37" name="Picture 37" descr="Change in employment, by firm temporary migrant reliance &#10;&#10;A line chart between March 2020 and November 2021 showing the per cent change in jobs by firm reliance on temporary migrants. Firms for which 40 per cent or more of the workforce were temporary migrants were more affected by the border closure. They experienced larger decreases in employment, and too longer to recover to a similar level, compared to firms less reliant on temporary migrants. The largest decrease was 24 per cent, which was for firms with a 70-100 per cent reliance on temporary mi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nge in employment, by firm temporary migrant reliance &#10;&#10;A line chart between March 2020 and November 2021 showing the per cent change in jobs by firm reliance on temporary migrants. Firms for which 40 per cent or more of the workforce were temporary migrants were more affected by the border closure. They experienced larger decreases in employment, and too longer to recover to a similar level, compared to firms less reliant on temporary migrants. The largest decrease was 24 per cent, which was for firms with a 70-100 per cent reliance on temporary migrant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6000" cy="2736000"/>
                              </a:xfrm>
                              <a:prstGeom prst="rect">
                                <a:avLst/>
                              </a:prstGeom>
                              <a:noFill/>
                              <a:ln>
                                <a:noFill/>
                              </a:ln>
                            </pic:spPr>
                          </pic:pic>
                        </a:graphicData>
                      </a:graphic>
                    </wp:inline>
                  </w:drawing>
                </w:r>
              </w:p>
            </w:tc>
            <w:tc>
              <w:tcPr>
                <w:tcW w:w="2500" w:type="pct"/>
              </w:tcPr>
              <w:p w14:paraId="38080A67" w14:textId="25B0DA40" w:rsidR="00580E60" w:rsidRPr="00580E60" w:rsidRDefault="00580E60" w:rsidP="004B648D">
                <w:pPr>
                  <w:pStyle w:val="ChartGraphic"/>
                  <w:spacing w:after="120"/>
                </w:pPr>
                <w:r w:rsidRPr="00323874">
                  <w:rPr>
                    <w:noProof/>
                  </w:rPr>
                  <w:drawing>
                    <wp:inline distT="0" distB="0" distL="0" distR="0" wp14:anchorId="32F5B78C" wp14:editId="54602B9B">
                      <wp:extent cx="2713756" cy="2736000"/>
                      <wp:effectExtent l="0" t="0" r="0" b="7620"/>
                      <wp:docPr id="38" name="Picture 38" descr="Change in quarterly turnover, by firm temporary migrant reliance&#10;&#10;A line chart between 2020 quarter 1, and 2021 quarter 2, showing the per cent change in quarterly turnover by firm reliance on temporary migrants. &#10;The largest decrease in quarterly turnover was 24 per cent, in 2020 quarter 2. This was for firms with a 70-100 per cent reliance on temporary mi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nge in quarterly turnover, by firm temporary migrant reliance&#10;&#10;A line chart between 2020 quarter 1, and 2021 quarter 2, showing the per cent change in quarterly turnover by firm reliance on temporary migrants. &#10;The largest decrease in quarterly turnover was 24 per cent, in 2020 quarter 2. This was for firms with a 70-100 per cent reliance on temporary migrant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3756" cy="2736000"/>
                              </a:xfrm>
                              <a:prstGeom prst="rect">
                                <a:avLst/>
                              </a:prstGeom>
                              <a:noFill/>
                              <a:ln>
                                <a:noFill/>
                              </a:ln>
                            </pic:spPr>
                          </pic:pic>
                        </a:graphicData>
                      </a:graphic>
                    </wp:inline>
                  </w:drawing>
                </w:r>
              </w:p>
            </w:tc>
          </w:tr>
          <w:tr w:rsidR="00323874" w:rsidRPr="004B648D" w14:paraId="613F0443" w14:textId="77777777" w:rsidTr="00413B6A">
            <w:trPr>
              <w:trHeight w:val="20"/>
            </w:trPr>
            <w:tc>
              <w:tcPr>
                <w:tcW w:w="2500" w:type="pct"/>
              </w:tcPr>
              <w:p w14:paraId="0EA2605D" w14:textId="0028AD98" w:rsidR="00323874" w:rsidRPr="004B648D" w:rsidRDefault="00323874" w:rsidP="00A95705">
                <w:pPr>
                  <w:pStyle w:val="Chartsource"/>
                </w:pPr>
                <w:r w:rsidRPr="004B648D">
                  <w:t xml:space="preserve">Source: </w:t>
                </w:r>
                <w:r w:rsidR="004B648D" w:rsidRPr="004B648D">
                  <w:tab/>
                </w:r>
                <w:r w:rsidRPr="004B648D">
                  <w:t xml:space="preserve">Treasury analysis of tax and visa microdata. </w:t>
                </w:r>
              </w:p>
              <w:p w14:paraId="2D4E3C8C" w14:textId="77777777" w:rsidR="007E37A3" w:rsidRDefault="00323874" w:rsidP="006D5AB6">
                <w:pPr>
                  <w:pStyle w:val="Chartsource"/>
                </w:pPr>
                <w:r w:rsidRPr="004B648D">
                  <w:t xml:space="preserve">Note: </w:t>
                </w:r>
                <w:r w:rsidR="004B648D" w:rsidRPr="004B648D">
                  <w:tab/>
                </w:r>
                <w:r w:rsidRPr="004B648D">
                  <w:t xml:space="preserve">This analysis </w:t>
                </w:r>
                <w:r w:rsidR="00C248DB">
                  <w:t>controls for firm</w:t>
                </w:r>
                <w:r w:rsidR="0071786E">
                  <w:t>-level characteristics</w:t>
                </w:r>
              </w:p>
              <w:p w14:paraId="1B1BF4C8" w14:textId="29E0BA0D" w:rsidR="00C248DB" w:rsidRDefault="0071786E" w:rsidP="007E37A3">
                <w:pPr>
                  <w:pStyle w:val="Chartsource"/>
                  <w:ind w:left="720"/>
                </w:pPr>
                <w:r>
                  <w:t xml:space="preserve">including </w:t>
                </w:r>
                <w:r w:rsidR="007E37A3">
                  <w:t xml:space="preserve">industry, location and firm size. </w:t>
                </w:r>
              </w:p>
              <w:p w14:paraId="4094B4AE" w14:textId="1E4C6E63" w:rsidR="006D5AB6" w:rsidRDefault="00323874" w:rsidP="007E37A3">
                <w:pPr>
                  <w:pStyle w:val="Chartsource"/>
                  <w:ind w:left="720"/>
                </w:pPr>
                <w:r w:rsidRPr="004B648D">
                  <w:t xml:space="preserve">This analysis </w:t>
                </w:r>
                <w:r w:rsidR="007E37A3">
                  <w:t xml:space="preserve">uses </w:t>
                </w:r>
                <w:r w:rsidRPr="004B648D">
                  <w:t xml:space="preserve">an older version </w:t>
                </w:r>
                <w:r w:rsidR="009A39AE" w:rsidRPr="004B648D">
                  <w:t xml:space="preserve">of </w:t>
                </w:r>
                <w:r w:rsidRPr="004B648D">
                  <w:t>the dataset</w:t>
                </w:r>
                <w:r w:rsidR="006D5AB6">
                  <w:t>, which</w:t>
                </w:r>
              </w:p>
              <w:p w14:paraId="3B524FBE" w14:textId="264A0156" w:rsidR="00323874" w:rsidRPr="004B648D" w:rsidRDefault="006D5AB6" w:rsidP="006D5AB6">
                <w:pPr>
                  <w:pStyle w:val="Chartsource"/>
                  <w:ind w:left="720"/>
                </w:pPr>
                <w:r>
                  <w:t xml:space="preserve">has slightly different definitions for domestic and migrant workforce. </w:t>
                </w:r>
                <w:r w:rsidR="00033D90" w:rsidRPr="004B48EC">
                  <w:t>This analysis also focuses only on firms that reported payroll data on 1 March 2020 and 7 November 2021. Therefore</w:t>
                </w:r>
                <w:r w:rsidR="00033D90">
                  <w:t>, i</w:t>
                </w:r>
                <w:r>
                  <w:t xml:space="preserve">t is </w:t>
                </w:r>
                <w:r w:rsidR="00456D70">
                  <w:t>not directly comparable to Charts 1.2 to 1.5</w:t>
                </w:r>
                <w:r w:rsidR="00323874" w:rsidRPr="004B648D">
                  <w:t>.</w:t>
                </w:r>
              </w:p>
            </w:tc>
            <w:tc>
              <w:tcPr>
                <w:tcW w:w="2500" w:type="pct"/>
              </w:tcPr>
              <w:p w14:paraId="553B2555" w14:textId="02F3FDA7" w:rsidR="00323874" w:rsidRPr="004B648D" w:rsidRDefault="00323874" w:rsidP="00A95705">
                <w:pPr>
                  <w:pStyle w:val="Chartsource"/>
                </w:pPr>
                <w:r w:rsidRPr="004B648D">
                  <w:t xml:space="preserve">Source: </w:t>
                </w:r>
                <w:r w:rsidR="004B648D" w:rsidRPr="004B648D">
                  <w:tab/>
                </w:r>
                <w:r w:rsidRPr="004B648D">
                  <w:t>Treasury analysis of tax and visa microdata.</w:t>
                </w:r>
              </w:p>
              <w:p w14:paraId="432CBEEE" w14:textId="77777777" w:rsidR="007E37A3" w:rsidRDefault="00323874" w:rsidP="007E37A3">
                <w:pPr>
                  <w:pStyle w:val="Chartsource"/>
                </w:pPr>
                <w:r w:rsidRPr="004B648D">
                  <w:t xml:space="preserve">Note: </w:t>
                </w:r>
                <w:r w:rsidR="004B648D" w:rsidRPr="004B648D">
                  <w:tab/>
                </w:r>
                <w:r w:rsidRPr="004B648D">
                  <w:t xml:space="preserve">This analysis </w:t>
                </w:r>
                <w:r w:rsidR="007E37A3">
                  <w:t>controls for firm-level characteristics</w:t>
                </w:r>
              </w:p>
              <w:p w14:paraId="41C57902" w14:textId="26A59158" w:rsidR="007E37A3" w:rsidRDefault="007E37A3" w:rsidP="007E37A3">
                <w:pPr>
                  <w:pStyle w:val="Chartsource"/>
                  <w:ind w:left="720"/>
                </w:pPr>
                <w:r>
                  <w:t>including industry, location and firm size.</w:t>
                </w:r>
              </w:p>
              <w:p w14:paraId="79E1578B" w14:textId="4D585E74" w:rsidR="006D5AB6" w:rsidRDefault="007E37A3" w:rsidP="007E37A3">
                <w:pPr>
                  <w:pStyle w:val="Chartsource"/>
                  <w:ind w:left="720"/>
                </w:pPr>
                <w:r>
                  <w:t>The</w:t>
                </w:r>
                <w:r w:rsidR="006D5AB6" w:rsidRPr="004B648D">
                  <w:t xml:space="preserve"> analysis </w:t>
                </w:r>
                <w:r>
                  <w:t xml:space="preserve">uses </w:t>
                </w:r>
                <w:r w:rsidR="006D5AB6" w:rsidRPr="004B648D">
                  <w:t xml:space="preserve">an older version </w:t>
                </w:r>
                <w:r w:rsidR="00870EFB" w:rsidRPr="004B648D">
                  <w:t xml:space="preserve">of </w:t>
                </w:r>
                <w:r w:rsidR="006D5AB6" w:rsidRPr="004B648D">
                  <w:t>the dataset</w:t>
                </w:r>
                <w:r w:rsidR="006D5AB6">
                  <w:t>, which</w:t>
                </w:r>
              </w:p>
              <w:p w14:paraId="5FC9F168" w14:textId="3689DFCC" w:rsidR="00323874" w:rsidRPr="004B648D" w:rsidRDefault="006D5AB6" w:rsidP="006D5AB6">
                <w:pPr>
                  <w:pStyle w:val="Chartsource"/>
                  <w:ind w:left="720"/>
                </w:pPr>
                <w:r>
                  <w:t xml:space="preserve">has slightly different definitions for domestic and migrant workforce. </w:t>
                </w:r>
                <w:r w:rsidR="00B765CB" w:rsidRPr="000B6766">
                  <w:t>This analysis also focuses only on firms that reported payroll data on 1 March 2020 and 7 November 2021. Therefore</w:t>
                </w:r>
                <w:r w:rsidR="00B765CB">
                  <w:t>, i</w:t>
                </w:r>
                <w:r>
                  <w:t>t is not directly comparable to Charts 1.2 to 1.5</w:t>
                </w:r>
                <w:r w:rsidRPr="004B648D">
                  <w:t>.</w:t>
                </w:r>
              </w:p>
            </w:tc>
          </w:tr>
        </w:tbl>
        <w:p w14:paraId="22071874" w14:textId="77777777" w:rsidR="00154ACF" w:rsidRDefault="00154ACF" w:rsidP="00154ACF">
          <w:pPr>
            <w:pStyle w:val="ChartTableFiguresectionline"/>
          </w:pPr>
          <w:bookmarkStart w:id="7" w:name="_Toc150767966"/>
        </w:p>
        <w:p w14:paraId="761946B9" w14:textId="5A8CB1A7" w:rsidR="003C5318" w:rsidRPr="008B471E" w:rsidRDefault="003C5318" w:rsidP="00C74BDB">
          <w:pPr>
            <w:pStyle w:val="Heading2Numbered"/>
          </w:pPr>
          <w:r>
            <w:lastRenderedPageBreak/>
            <w:t>Australian firms have recovered strongly from the closure of the international</w:t>
          </w:r>
          <w:r w:rsidR="00AF0F56">
            <w:t> </w:t>
          </w:r>
          <w:r>
            <w:t>border</w:t>
          </w:r>
          <w:bookmarkEnd w:id="7"/>
          <w:r>
            <w:t xml:space="preserve"> </w:t>
          </w:r>
        </w:p>
        <w:p w14:paraId="42BB1ECB" w14:textId="6F505C36" w:rsidR="003C5318" w:rsidRDefault="00FC3C94" w:rsidP="003C5318">
          <w:pPr>
            <w:pStyle w:val="Bullet"/>
            <w:numPr>
              <w:ilvl w:val="0"/>
              <w:numId w:val="0"/>
            </w:numPr>
          </w:pPr>
          <w:r>
            <w:t>The story of this data is that Australian firms appear to have responded flexibly to the shock caused by</w:t>
          </w:r>
          <w:r w:rsidR="0017205D">
            <w:t xml:space="preserve"> the COVID</w:t>
          </w:r>
          <w:r w:rsidR="00F1596C">
            <w:t>-19</w:t>
          </w:r>
          <w:r w:rsidR="0017205D">
            <w:t xml:space="preserve"> border changes and </w:t>
          </w:r>
          <w:r w:rsidR="003C3804">
            <w:t xml:space="preserve">other </w:t>
          </w:r>
          <w:r w:rsidR="0017205D">
            <w:t>associated policy</w:t>
          </w:r>
          <w:r w:rsidR="003C3804">
            <w:t xml:space="preserve"> changes – from a labour market perspective. </w:t>
          </w:r>
          <w:r w:rsidR="0054734A">
            <w:t>The</w:t>
          </w:r>
          <w:r w:rsidR="003C5318">
            <w:t xml:space="preserve"> </w:t>
          </w:r>
          <w:r w:rsidR="007B77E3">
            <w:t>COVID</w:t>
          </w:r>
          <w:r w:rsidR="00C34305">
            <w:noBreakHyphen/>
          </w:r>
          <w:r w:rsidR="003C5318">
            <w:t>19 imposed border closures created labour shortages (particularly in some industry and region combinations)</w:t>
          </w:r>
          <w:r w:rsidR="003C3804">
            <w:t xml:space="preserve"> and</w:t>
          </w:r>
          <w:r w:rsidR="003C5318">
            <w:t xml:space="preserve"> Australian firms reallocated </w:t>
          </w:r>
          <w:r w:rsidR="0054734A">
            <w:t>their</w:t>
          </w:r>
          <w:r w:rsidR="003C5318">
            <w:t xml:space="preserve"> labour mix to address these issues. Once</w:t>
          </w:r>
          <w:r w:rsidR="00587729">
            <w:t> </w:t>
          </w:r>
          <w:r w:rsidR="003C5318">
            <w:t xml:space="preserve">the border reopened, the return of temporary migrants helped </w:t>
          </w:r>
          <w:r w:rsidR="0081019A">
            <w:t xml:space="preserve">most </w:t>
          </w:r>
          <w:r w:rsidR="003C5318">
            <w:t>firms that relied heavily on migrants to recover their labour headcount to pre</w:t>
          </w:r>
          <w:r w:rsidR="00C34305">
            <w:noBreakHyphen/>
          </w:r>
          <w:r w:rsidR="007B77E3">
            <w:t>COVID</w:t>
          </w:r>
          <w:r w:rsidR="00C34305">
            <w:noBreakHyphen/>
          </w:r>
          <w:r w:rsidR="007B77E3">
            <w:t>19</w:t>
          </w:r>
          <w:r w:rsidR="003C5318">
            <w:t xml:space="preserve"> levels</w:t>
          </w:r>
          <w:r w:rsidR="00DD4EF3">
            <w:t>.</w:t>
          </w:r>
          <w:r w:rsidR="003C5318">
            <w:t xml:space="preserve"> </w:t>
          </w:r>
          <w:r w:rsidR="00DD4EF3">
            <w:t>T</w:t>
          </w:r>
          <w:r w:rsidR="003C5318">
            <w:t>he</w:t>
          </w:r>
          <w:r w:rsidR="00974461">
            <w:t xml:space="preserve"> </w:t>
          </w:r>
          <w:r w:rsidR="003C5318">
            <w:t>average pay</w:t>
          </w:r>
          <w:r w:rsidR="00E65F1E">
            <w:t xml:space="preserve"> </w:t>
          </w:r>
          <w:r w:rsidR="00974461">
            <w:t>of</w:t>
          </w:r>
          <w:r w:rsidR="00F071E1">
            <w:t xml:space="preserve"> migrant workers</w:t>
          </w:r>
          <w:r w:rsidR="00974461">
            <w:t xml:space="preserve"> </w:t>
          </w:r>
          <w:r w:rsidR="00C74BDB">
            <w:t>normalised</w:t>
          </w:r>
          <w:r w:rsidR="00F12C43">
            <w:t>, which countered</w:t>
          </w:r>
          <w:r w:rsidR="00F071E1">
            <w:t xml:space="preserve"> the large rises before the border reopened</w:t>
          </w:r>
          <w:r w:rsidR="003C5318">
            <w:t>.</w:t>
          </w:r>
        </w:p>
        <w:p w14:paraId="0AD23FD1" w14:textId="77777777" w:rsidR="00A964BF" w:rsidRDefault="00A964BF" w:rsidP="00323874">
          <w:pPr>
            <w:rPr>
              <w:b/>
              <w:bCs/>
            </w:rPr>
          </w:pPr>
        </w:p>
        <w:p w14:paraId="640AC139" w14:textId="20AC3DF9" w:rsidR="00A964BF" w:rsidRDefault="00A964BF" w:rsidP="00323874">
          <w:pPr>
            <w:rPr>
              <w:b/>
              <w:bCs/>
            </w:rPr>
            <w:sectPr w:rsidR="00A964BF" w:rsidSect="00D424A2">
              <w:headerReference w:type="even" r:id="rId25"/>
              <w:headerReference w:type="default" r:id="rId26"/>
              <w:footerReference w:type="even" r:id="rId27"/>
              <w:footerReference w:type="default" r:id="rId28"/>
              <w:pgSz w:w="11906" w:h="16838" w:code="9"/>
              <w:pgMar w:top="2268" w:right="1418" w:bottom="1418" w:left="1418" w:header="709" w:footer="709" w:gutter="0"/>
              <w:pgNumType w:start="45"/>
              <w:cols w:space="708"/>
              <w:docGrid w:linePitch="360"/>
            </w:sectPr>
          </w:pPr>
        </w:p>
        <w:p w14:paraId="357E832D" w14:textId="658583F9" w:rsidR="005A418D" w:rsidRDefault="003C5318" w:rsidP="00DC41A4">
          <w:pPr>
            <w:pStyle w:val="AppendixHeading"/>
            <w:spacing w:before="240"/>
          </w:pPr>
          <w:bookmarkStart w:id="8" w:name="_Toc150767967"/>
          <w:r>
            <w:lastRenderedPageBreak/>
            <w:t>Appendix</w:t>
          </w:r>
          <w:bookmarkEnd w:id="8"/>
        </w:p>
        <w:p w14:paraId="01DA5FCC" w14:textId="2831C38C" w:rsidR="002C1970" w:rsidRPr="00B80279" w:rsidRDefault="002C1970" w:rsidP="002C1970">
          <w:pPr>
            <w:pStyle w:val="ChartMainHeading"/>
            <w:numPr>
              <w:ilvl w:val="0"/>
              <w:numId w:val="0"/>
            </w:numPr>
            <w:spacing w:before="0"/>
            <w:ind w:left="1440" w:hanging="1440"/>
          </w:pPr>
          <w:r>
            <w:t>Chart</w:t>
          </w:r>
          <w:r w:rsidRPr="00941BB4">
            <w:t xml:space="preserve"> </w:t>
          </w:r>
          <w:r>
            <w:t>A</w:t>
          </w:r>
          <w:r w:rsidR="001D0B7A">
            <w:t>1</w:t>
          </w:r>
          <w:r w:rsidRPr="00941BB4">
            <w:t xml:space="preserve">: </w:t>
          </w:r>
          <w:r>
            <w:tab/>
          </w:r>
          <w:r w:rsidR="001D0B7A" w:rsidRPr="00EF3907">
            <w:t>Number of temporary</w:t>
          </w:r>
          <w:r w:rsidR="001D0B7A">
            <w:rPr>
              <w:bCs/>
            </w:rPr>
            <w:t xml:space="preserve"> </w:t>
          </w:r>
          <w:r w:rsidR="001D0B7A" w:rsidRPr="00941BBD">
            <w:rPr>
              <w:bCs/>
            </w:rPr>
            <w:t>migrants, by visa class</w:t>
          </w:r>
          <w:r w:rsidRPr="00B80279">
            <w:t xml:space="preserve"> </w:t>
          </w:r>
        </w:p>
        <w:p w14:paraId="225395AC" w14:textId="14A45877" w:rsidR="005A3457" w:rsidRPr="005A3457" w:rsidRDefault="00BE3710" w:rsidP="00323874">
          <w:pPr>
            <w:pStyle w:val="ChartGraphic"/>
          </w:pPr>
          <w:r>
            <w:rPr>
              <w:noProof/>
            </w:rPr>
            <w:drawing>
              <wp:inline distT="0" distB="0" distL="0" distR="0" wp14:anchorId="608A2FAA" wp14:editId="60FFFA64">
                <wp:extent cx="5591175" cy="3419475"/>
                <wp:effectExtent l="0" t="0" r="0" b="0"/>
                <wp:docPr id="14" name="Graphic 14" descr="Number of temporary migrants, by visa class &#10;&#10;A stacked column chart showing the number of temporary migrants by visa class between June 2012 and June 2023. &#10;Visa classes include student, bridging, temporary skilled, working holiday, and other. &#10;The total number of temporary migrants increases from 1.65 million in June 2012 to 1.95 million in June 2023.  It shows that between March 2020 and September 2021 the number of temporary migrants declined by 24.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Number of temporary migrants, by visa class &#10;&#10;A stacked column chart showing the number of temporary migrants by visa class between June 2012 and June 2023. &#10;Visa classes include student, bridging, temporary skilled, working holiday, and other. &#10;The total number of temporary migrants increases from 1.65 million in June 2012 to 1.95 million in June 2023.  It shows that between March 2020 and September 2021 the number of temporary migrants declined by 24.4 per cent."/>
                        <pic:cNvPicPr/>
                      </pic:nvPicPr>
                      <pic:blipFill>
                        <a:blip r:embed="rId29">
                          <a:extLst>
                            <a:ext uri="{96DAC541-7B7A-43D3-8B79-37D633B846F1}">
                              <asvg:svgBlip xmlns:asvg="http://schemas.microsoft.com/office/drawing/2016/SVG/main" r:embed="rId30"/>
                            </a:ext>
                          </a:extLst>
                        </a:blip>
                        <a:stretch>
                          <a:fillRect/>
                        </a:stretch>
                      </pic:blipFill>
                      <pic:spPr>
                        <a:xfrm>
                          <a:off x="0" y="0"/>
                          <a:ext cx="5591175" cy="3419475"/>
                        </a:xfrm>
                        <a:prstGeom prst="rect">
                          <a:avLst/>
                        </a:prstGeom>
                      </pic:spPr>
                    </pic:pic>
                  </a:graphicData>
                </a:graphic>
              </wp:inline>
            </w:drawing>
          </w:r>
          <w:r>
            <w:rPr>
              <w:noProof/>
            </w:rPr>
            <w:t xml:space="preserve"> </w:t>
          </w:r>
        </w:p>
        <w:p w14:paraId="685D478F" w14:textId="35C04690" w:rsidR="00DC41A4" w:rsidRDefault="003C5318" w:rsidP="00A95705">
          <w:pPr>
            <w:pStyle w:val="Chartsource"/>
          </w:pPr>
          <w:r>
            <w:t xml:space="preserve">Source: </w:t>
          </w:r>
          <w:r w:rsidR="00FC1793">
            <w:tab/>
          </w:r>
          <w:r>
            <w:t>Number of Temporary visa holders in Australia, Department of Home Affairs (</w:t>
          </w:r>
          <w:r w:rsidR="00E80C91">
            <w:t>30/06/2023</w:t>
          </w:r>
          <w:r>
            <w:t>)</w:t>
          </w:r>
          <w:r w:rsidR="00FC1793">
            <w:t>.</w:t>
          </w:r>
        </w:p>
        <w:p w14:paraId="7B764C06" w14:textId="77777777" w:rsidR="009F0A2F" w:rsidRDefault="009F0A2F" w:rsidP="00A937B9">
          <w:pPr>
            <w:pStyle w:val="Chartsource"/>
          </w:pPr>
        </w:p>
        <w:p w14:paraId="58F53293" w14:textId="2BC73E31" w:rsidR="00E13B30" w:rsidRPr="00B80279" w:rsidRDefault="00E13B30" w:rsidP="00E13B30">
          <w:pPr>
            <w:pStyle w:val="ChartMainHeading"/>
            <w:numPr>
              <w:ilvl w:val="0"/>
              <w:numId w:val="0"/>
            </w:numPr>
            <w:spacing w:before="0"/>
            <w:ind w:left="1440" w:hanging="1440"/>
          </w:pPr>
          <w:r>
            <w:t>Chart</w:t>
          </w:r>
          <w:r w:rsidRPr="00941BB4">
            <w:t xml:space="preserve"> </w:t>
          </w:r>
          <w:r>
            <w:t>A2</w:t>
          </w:r>
          <w:r w:rsidRPr="00941BB4">
            <w:t xml:space="preserve">: </w:t>
          </w:r>
          <w:r>
            <w:tab/>
          </w:r>
          <w:r w:rsidRPr="00496AC7">
            <w:t>Distribution of firms and</w:t>
          </w:r>
          <w:r>
            <w:t xml:space="preserve"> jobs</w:t>
          </w:r>
          <w:r w:rsidRPr="00496AC7">
            <w:t xml:space="preserve"> fortnight ending 1 March 2020, by firm temporary</w:t>
          </w:r>
          <w:r>
            <w:t> </w:t>
          </w:r>
          <w:r w:rsidRPr="00496AC7">
            <w:t>migrant reliance</w:t>
          </w:r>
          <w:r w:rsidRPr="00EF3907">
            <w:t xml:space="preserve"> </w:t>
          </w:r>
        </w:p>
        <w:p w14:paraId="51A206E5" w14:textId="77777777" w:rsidR="00E13B30" w:rsidRDefault="00E13B30" w:rsidP="00E13B30">
          <w:pPr>
            <w:pStyle w:val="ChartGraphic"/>
          </w:pPr>
          <w:r>
            <w:rPr>
              <w:noProof/>
            </w:rPr>
            <w:drawing>
              <wp:inline distT="0" distB="0" distL="0" distR="0" wp14:anchorId="2DAA28E6" wp14:editId="0FD385DB">
                <wp:extent cx="5580000" cy="3011609"/>
                <wp:effectExtent l="0" t="0" r="1905" b="0"/>
                <wp:docPr id="40" name="Graphic 40" descr="Distribution of firms and jobs fortnight ending 1 March 2020, &#10;&#10;A column chart showing the distribution of firms and jobs by temporary migrant reliance, for the fortnight ending 1 March 2020. Over 70 per cent of firms had no temporary migrants, which represented around 21 per cent of jobs. Around 11 per cent of firms relied on temporary migrants for between 1-10 per cent of their workforce, represented around 63 per cent of jobs. Less than 4 per cent of firms had a reliance of over 40 per cent or more on temporary migra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Distribution of firms and jobs fortnight ending 1 March 2020, &#10;&#10;A column chart showing the distribution of firms and jobs by temporary migrant reliance, for the fortnight ending 1 March 2020. Over 70 per cent of firms had no temporary migrants, which represented around 21 per cent of jobs. Around 11 per cent of firms relied on temporary migrants for between 1-10 per cent of their workforce, represented around 63 per cent of jobs. Less than 4 per cent of firms had a reliance of over 40 per cent or more on temporary migrants. &#10;"/>
                        <pic:cNvPicPr/>
                      </pic:nvPicPr>
                      <pic:blipFill>
                        <a:blip r:embed="rId31">
                          <a:extLst>
                            <a:ext uri="{96DAC541-7B7A-43D3-8B79-37D633B846F1}">
                              <asvg:svgBlip xmlns:asvg="http://schemas.microsoft.com/office/drawing/2016/SVG/main" r:embed="rId32"/>
                            </a:ext>
                          </a:extLst>
                        </a:blip>
                        <a:stretch>
                          <a:fillRect/>
                        </a:stretch>
                      </pic:blipFill>
                      <pic:spPr>
                        <a:xfrm>
                          <a:off x="0" y="0"/>
                          <a:ext cx="5580000" cy="3011609"/>
                        </a:xfrm>
                        <a:prstGeom prst="rect">
                          <a:avLst/>
                        </a:prstGeom>
                      </pic:spPr>
                    </pic:pic>
                  </a:graphicData>
                </a:graphic>
              </wp:inline>
            </w:drawing>
          </w:r>
        </w:p>
        <w:p w14:paraId="4FEF62B2" w14:textId="77777777" w:rsidR="003C5318" w:rsidRDefault="003C5318" w:rsidP="00A95705">
          <w:pPr>
            <w:pStyle w:val="Chartsource"/>
          </w:pPr>
          <w:r w:rsidRPr="00DC4A05">
            <w:t>Source:</w:t>
          </w:r>
          <w:r>
            <w:t xml:space="preserve"> </w:t>
          </w:r>
          <w:r w:rsidR="00FC1793">
            <w:tab/>
          </w:r>
          <w:r>
            <w:t>Treasury analysis of tax and visa microdata.</w:t>
          </w:r>
        </w:p>
        <w:p w14:paraId="3CE8A350" w14:textId="77777777" w:rsidR="00DC41A4" w:rsidRDefault="00DC41A4" w:rsidP="00DC41A4">
          <w:pPr>
            <w:pStyle w:val="ChartTableFiguresectionline"/>
          </w:pPr>
        </w:p>
        <w:p w14:paraId="2CE2136C" w14:textId="07500480" w:rsidR="002C1970" w:rsidRPr="00B80279" w:rsidRDefault="002C1970" w:rsidP="002C1970">
          <w:pPr>
            <w:pStyle w:val="ChartMainHeading"/>
            <w:numPr>
              <w:ilvl w:val="0"/>
              <w:numId w:val="0"/>
            </w:numPr>
            <w:spacing w:before="0"/>
            <w:ind w:left="1440" w:hanging="1440"/>
          </w:pPr>
          <w:r>
            <w:lastRenderedPageBreak/>
            <w:t>Chart</w:t>
          </w:r>
          <w:r w:rsidRPr="00941BB4">
            <w:t xml:space="preserve"> </w:t>
          </w:r>
          <w:r>
            <w:t>A</w:t>
          </w:r>
          <w:r w:rsidR="00C41F17">
            <w:t>3</w:t>
          </w:r>
          <w:r w:rsidRPr="00941BB4">
            <w:t xml:space="preserve">: </w:t>
          </w:r>
          <w:r>
            <w:tab/>
          </w:r>
          <w:r w:rsidRPr="00B80279">
            <w:t xml:space="preserve">Change in jobs by Industry, </w:t>
          </w:r>
          <w:r>
            <w:t>February </w:t>
          </w:r>
          <w:r w:rsidRPr="00B80279">
            <w:t>2020</w:t>
          </w:r>
          <w:r>
            <w:t> </w:t>
          </w:r>
          <w:r w:rsidRPr="00B80279">
            <w:t>to</w:t>
          </w:r>
          <w:r>
            <w:t> November 2021</w:t>
          </w:r>
        </w:p>
        <w:p w14:paraId="045083C3" w14:textId="4BF81A07" w:rsidR="003C5318" w:rsidRDefault="00600660" w:rsidP="00514AA0">
          <w:pPr>
            <w:pStyle w:val="ChartGraphic"/>
          </w:pPr>
          <w:r>
            <w:rPr>
              <w:noProof/>
            </w:rPr>
            <w:drawing>
              <wp:inline distT="0" distB="0" distL="0" distR="0" wp14:anchorId="080B5850" wp14:editId="40EFE19A">
                <wp:extent cx="5581650" cy="2695575"/>
                <wp:effectExtent l="0" t="0" r="0" b="9525"/>
                <wp:docPr id="55" name="Graphic 55" descr="Change in temporary migrant jobs by Industry, Thousands, February 2020 to November 2021 &#10;&#10;A bar chart showing the change in temporary migrant jobs by industry, between February 2020 and November 2021. Accommodation and Food services had the largest decline in temporary migrants, which was around 41 thousand. Health care and social assistance had the largest increase in domestic workers, of around 111 thousand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Change in temporary migrant jobs by Industry, Thousands, February 2020 to November 2021 &#10;&#10;A bar chart showing the change in temporary migrant jobs by industry, between February 2020 and November 2021. Accommodation and Food services had the largest decline in temporary migrants, which was around 41 thousand. Health care and social assistance had the largest increase in domestic workers, of around 111 thousand workers. "/>
                        <pic:cNvPicPr/>
                      </pic:nvPicPr>
                      <pic:blipFill>
                        <a:blip r:embed="rId33">
                          <a:extLst>
                            <a:ext uri="{96DAC541-7B7A-43D3-8B79-37D633B846F1}">
                              <asvg:svgBlip xmlns:asvg="http://schemas.microsoft.com/office/drawing/2016/SVG/main" r:embed="rId34"/>
                            </a:ext>
                          </a:extLst>
                        </a:blip>
                        <a:stretch>
                          <a:fillRect/>
                        </a:stretch>
                      </pic:blipFill>
                      <pic:spPr>
                        <a:xfrm>
                          <a:off x="0" y="0"/>
                          <a:ext cx="5581650" cy="2695575"/>
                        </a:xfrm>
                        <a:prstGeom prst="rect">
                          <a:avLst/>
                        </a:prstGeom>
                      </pic:spPr>
                    </pic:pic>
                  </a:graphicData>
                </a:graphic>
              </wp:inline>
            </w:drawing>
          </w:r>
        </w:p>
        <w:p w14:paraId="4609CC6A" w14:textId="7B7B3D84" w:rsidR="003C5318" w:rsidRDefault="003C5318" w:rsidP="00A95705">
          <w:pPr>
            <w:pStyle w:val="Chartsource"/>
          </w:pPr>
          <w:r w:rsidRPr="00DC4A05">
            <w:t>Source:</w:t>
          </w:r>
          <w:r>
            <w:t xml:space="preserve"> </w:t>
          </w:r>
          <w:r w:rsidR="00FC1793">
            <w:tab/>
          </w:r>
          <w:r>
            <w:t>Treasury analysis of tax and visa microdata.</w:t>
          </w:r>
        </w:p>
        <w:p w14:paraId="50682366" w14:textId="77777777" w:rsidR="003C194B" w:rsidRDefault="003C194B" w:rsidP="00A95705">
          <w:pPr>
            <w:pStyle w:val="Chartsource"/>
          </w:pPr>
        </w:p>
        <w:p w14:paraId="45B35BE0" w14:textId="2EBF5F61" w:rsidR="00797B0E" w:rsidRPr="00B80279" w:rsidRDefault="00797B0E" w:rsidP="00797B0E">
          <w:pPr>
            <w:pStyle w:val="ChartMainHeading"/>
            <w:numPr>
              <w:ilvl w:val="0"/>
              <w:numId w:val="0"/>
            </w:numPr>
            <w:spacing w:before="0"/>
            <w:ind w:left="1440" w:hanging="1440"/>
          </w:pPr>
          <w:r>
            <w:t>Chart</w:t>
          </w:r>
          <w:r w:rsidRPr="00941BB4">
            <w:t xml:space="preserve"> </w:t>
          </w:r>
          <w:r>
            <w:t>A4</w:t>
          </w:r>
          <w:r w:rsidRPr="00941BB4">
            <w:t xml:space="preserve">: </w:t>
          </w:r>
          <w:r>
            <w:tab/>
          </w:r>
          <w:r w:rsidRPr="00AE45A3">
            <w:t xml:space="preserve">Share of jobs filled by temporary migrants by remoteness and visa type, </w:t>
          </w:r>
          <w:r>
            <w:rPr>
              <w:bCs/>
            </w:rPr>
            <w:t>February </w:t>
          </w:r>
          <w:r w:rsidRPr="00AE45A3">
            <w:rPr>
              <w:bCs/>
            </w:rPr>
            <w:t>2020</w:t>
          </w:r>
        </w:p>
        <w:p w14:paraId="23D9D5DD" w14:textId="2DDE3765" w:rsidR="003C5318" w:rsidRDefault="000E47C3" w:rsidP="00514AA0">
          <w:pPr>
            <w:pStyle w:val="ChartGraphic"/>
          </w:pPr>
          <w:r>
            <w:rPr>
              <w:noProof/>
            </w:rPr>
            <w:drawing>
              <wp:inline distT="0" distB="0" distL="0" distR="0" wp14:anchorId="40FFE818" wp14:editId="2F61E46E">
                <wp:extent cx="5581650" cy="2695575"/>
                <wp:effectExtent l="0" t="0" r="0" b="9525"/>
                <wp:docPr id="3" name="Graphic 3" descr="Share of jobs filled by temporary migrants, by remoteness and visa type, February 2020 &#10;&#10;A bar chart showing the share of jobs filled by temporary migrants, by remoteness and visa type, in February 2020. Major cities of Australia had the largest share of jobs filled by temporary migrants, with around 5 per cent of jobs filled by temporary migrants, with students making up around 2.4 per cent of the jobs filled. &#10;Outer regional, remote Australia and Inner regional each had 4.8 per cent, 3.6 per cent, and 2.7 per cent of jobs filled by temporary mi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hare of jobs filled by temporary migrants, by remoteness and visa type, February 2020 &#10;&#10;A bar chart showing the share of jobs filled by temporary migrants, by remoteness and visa type, in February 2020. Major cities of Australia had the largest share of jobs filled by temporary migrants, with around 5 per cent of jobs filled by temporary migrants, with students making up around 2.4 per cent of the jobs filled. &#10;Outer regional, remote Australia and Inner regional each had 4.8 per cent, 3.6 per cent, and 2.7 per cent of jobs filled by temporary migrants. "/>
                        <pic:cNvPicPr/>
                      </pic:nvPicPr>
                      <pic:blipFill>
                        <a:blip r:embed="rId35">
                          <a:extLst>
                            <a:ext uri="{96DAC541-7B7A-43D3-8B79-37D633B846F1}">
                              <asvg:svgBlip xmlns:asvg="http://schemas.microsoft.com/office/drawing/2016/SVG/main" r:embed="rId36"/>
                            </a:ext>
                          </a:extLst>
                        </a:blip>
                        <a:stretch>
                          <a:fillRect/>
                        </a:stretch>
                      </pic:blipFill>
                      <pic:spPr>
                        <a:xfrm>
                          <a:off x="0" y="0"/>
                          <a:ext cx="5581650" cy="2695575"/>
                        </a:xfrm>
                        <a:prstGeom prst="rect">
                          <a:avLst/>
                        </a:prstGeom>
                      </pic:spPr>
                    </pic:pic>
                  </a:graphicData>
                </a:graphic>
              </wp:inline>
            </w:drawing>
          </w:r>
        </w:p>
        <w:p w14:paraId="3D732336" w14:textId="371C378B" w:rsidR="00D107E8" w:rsidRDefault="003C5318" w:rsidP="00EE2605">
          <w:pPr>
            <w:pStyle w:val="Chartsource"/>
          </w:pPr>
          <w:r w:rsidRPr="00DC4A05">
            <w:t>Source:</w:t>
          </w:r>
          <w:r>
            <w:t xml:space="preserve"> </w:t>
          </w:r>
          <w:r w:rsidR="00FC1793">
            <w:tab/>
          </w:r>
          <w:r>
            <w:t>Treasury analysis of tax and visa microdata. Note: Location of workers is determined by firm location</w:t>
          </w:r>
          <w:r w:rsidR="00436E69">
            <w:t>.</w:t>
          </w:r>
        </w:p>
      </w:sdtContent>
    </w:sdt>
    <w:p w14:paraId="47196A52" w14:textId="77777777" w:rsidR="00DC41A4" w:rsidRPr="00034ED6" w:rsidRDefault="00DC41A4" w:rsidP="00DC41A4">
      <w:pPr>
        <w:pStyle w:val="ChartTableFiguresectionline"/>
      </w:pPr>
    </w:p>
    <w:sectPr w:rsidR="00DC41A4" w:rsidRPr="00034ED6" w:rsidSect="00687EDE">
      <w:footerReference w:type="default" r:id="rId37"/>
      <w:footnotePr>
        <w:numStart w:val="30"/>
      </w:footnotePr>
      <w:pgSz w:w="11906" w:h="16838"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33E29" w14:textId="77777777" w:rsidR="00C87E7F" w:rsidRDefault="00C87E7F">
      <w:pPr>
        <w:spacing w:before="0" w:after="0"/>
      </w:pPr>
      <w:r>
        <w:separator/>
      </w:r>
    </w:p>
  </w:endnote>
  <w:endnote w:type="continuationSeparator" w:id="0">
    <w:p w14:paraId="1DEB3A65" w14:textId="77777777" w:rsidR="00C87E7F" w:rsidRDefault="00C87E7F">
      <w:pPr>
        <w:spacing w:before="0" w:after="0"/>
      </w:pPr>
      <w:r>
        <w:continuationSeparator/>
      </w:r>
    </w:p>
  </w:endnote>
  <w:endnote w:type="continuationNotice" w:id="1">
    <w:p w14:paraId="04510178" w14:textId="77777777" w:rsidR="00C87E7F" w:rsidRDefault="00C87E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45 Light">
    <w:altName w:val="Calibri"/>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097E" w14:textId="7D859E10" w:rsidR="002567AD" w:rsidRPr="0027070B" w:rsidRDefault="002567AD" w:rsidP="0027070B">
    <w:pPr>
      <w:pStyle w:val="FooterEven"/>
    </w:pPr>
    <w:r w:rsidRPr="002567AD">
      <w:fldChar w:fldCharType="begin"/>
    </w:r>
    <w:r w:rsidRPr="002567AD">
      <w:instrText xml:space="preserve"> PAGE   \* MERGEFORMAT </w:instrText>
    </w:r>
    <w:r w:rsidRPr="002567AD">
      <w:fldChar w:fldCharType="separate"/>
    </w:r>
    <w:r w:rsidRPr="002567AD">
      <w:t>2</w:t>
    </w:r>
    <w:r w:rsidRPr="002567AD">
      <w:fldChar w:fldCharType="end"/>
    </w:r>
    <w:r w:rsidRPr="002567AD">
      <w:t xml:space="preserve"> | </w:t>
    </w:r>
    <w:r w:rsidR="000A2BFC">
      <w:fldChar w:fldCharType="begin"/>
    </w:r>
    <w:r w:rsidR="000A2BFC">
      <w:instrText>STYLEREF  "Heading 1 Numbered" \l  \* MERGEFORMAT</w:instrText>
    </w:r>
    <w:r w:rsidR="000A2BFC">
      <w:fldChar w:fldCharType="separate"/>
    </w:r>
    <w:r w:rsidR="008220E9">
      <w:t>Temporary migrant workers</w:t>
    </w:r>
    <w:r w:rsidR="000A2BF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D96C" w14:textId="238C6FC2" w:rsidR="0059095F" w:rsidRPr="008F3B63" w:rsidRDefault="0059095F" w:rsidP="0059095F">
    <w:pPr>
      <w:pStyle w:val="Footer"/>
      <w:jc w:val="right"/>
    </w:pPr>
    <w:r w:rsidRPr="00103F3C">
      <w:rPr>
        <w:noProof/>
        <w:position w:val="-8"/>
      </w:rPr>
      <w:drawing>
        <wp:inline distT="0" distB="0" distL="0" distR="0" wp14:anchorId="7F15D5FA" wp14:editId="48A3ABE0">
          <wp:extent cx="1324800" cy="201600"/>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sidR="000A2BFC">
      <w:fldChar w:fldCharType="begin"/>
    </w:r>
    <w:r w:rsidR="000A2BFC">
      <w:instrText xml:space="preserve"> STYLEREF  "Report title"  \* MERGEFORMAT </w:instrText>
    </w:r>
    <w:r w:rsidR="000A2BFC">
      <w:fldChar w:fldCharType="separate"/>
    </w:r>
    <w:r w:rsidR="000A2BFC">
      <w:rPr>
        <w:noProof/>
      </w:rPr>
      <w:t>Employment behaviour of firms reliant on temporary migrants</w:t>
    </w:r>
    <w:r w:rsidR="000A2BFC">
      <w:rPr>
        <w:noProof/>
      </w:rPr>
      <w:fldChar w:fldCharType="end"/>
    </w:r>
    <w:r w:rsidRPr="00D1425F">
      <w:t xml:space="preserve">  |  </w:t>
    </w:r>
    <w:r w:rsidRPr="00D1425F">
      <w:fldChar w:fldCharType="begin"/>
    </w:r>
    <w:r w:rsidRPr="00D1425F">
      <w:instrText xml:space="preserve"> PAGE   \* MERGEFORMAT </w:instrText>
    </w:r>
    <w:r w:rsidRPr="00D1425F">
      <w:fldChar w:fldCharType="separate"/>
    </w:r>
    <w:r>
      <w:t>5</w:t>
    </w:r>
    <w:r w:rsidRPr="00D1425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4A2E" w14:textId="47181858" w:rsidR="005D5187" w:rsidRPr="005D5187" w:rsidRDefault="005D5187" w:rsidP="00B37350">
    <w:pPr>
      <w:pStyle w:val="Footer"/>
    </w:pPr>
    <w:r w:rsidRPr="005D5187">
      <w:rPr>
        <w:noProof/>
        <w:position w:val="-6"/>
      </w:rPr>
      <w:drawing>
        <wp:inline distT="0" distB="0" distL="0" distR="0" wp14:anchorId="74C80127" wp14:editId="20B37646">
          <wp:extent cx="1324800" cy="201600"/>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Pr="00B37350">
      <w:tab/>
    </w:r>
    <w:r w:rsidR="000A2BFC">
      <w:fldChar w:fldCharType="begin"/>
    </w:r>
    <w:r w:rsidR="000A2BFC">
      <w:instrText xml:space="preserve"> STYLEREF  "Report title"  \* MERGEFORMAT </w:instrText>
    </w:r>
    <w:r w:rsidR="000A2BFC">
      <w:fldChar w:fldCharType="separate"/>
    </w:r>
    <w:r w:rsidR="000A2BFC" w:rsidRPr="000A2BFC">
      <w:rPr>
        <w:noProof/>
        <w:lang w:val="en-US"/>
      </w:rPr>
      <w:t>Employment behaviour of firms reliant on temporary migrants</w:t>
    </w:r>
    <w:r w:rsidR="000A2BFC">
      <w:rPr>
        <w:noProof/>
        <w:lang w:val="en-US"/>
      </w:rPr>
      <w:fldChar w:fldCharType="end"/>
    </w:r>
    <w:r w:rsidRPr="005D5187">
      <w:t xml:space="preserve">  |  </w:t>
    </w:r>
    <w:r w:rsidRPr="005D5187">
      <w:fldChar w:fldCharType="begin"/>
    </w:r>
    <w:r w:rsidRPr="005D5187">
      <w:instrText xml:space="preserve"> PAGE   \* MERGEFORMAT </w:instrText>
    </w:r>
    <w:r w:rsidRPr="005D5187">
      <w:fldChar w:fldCharType="separate"/>
    </w:r>
    <w:r w:rsidRPr="005D5187">
      <w:t>9</w:t>
    </w:r>
    <w:r w:rsidRPr="005D518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33F75" w14:textId="77777777" w:rsidR="00C87E7F" w:rsidRPr="0070404D" w:rsidRDefault="00C87E7F" w:rsidP="000F6233">
      <w:pPr>
        <w:rPr>
          <w:color w:val="D9D9D9" w:themeColor="background1" w:themeShade="D9"/>
        </w:rPr>
      </w:pPr>
      <w:r w:rsidRPr="0070404D">
        <w:rPr>
          <w:color w:val="D9D9D9" w:themeColor="background1" w:themeShade="D9"/>
        </w:rPr>
        <w:separator/>
      </w:r>
    </w:p>
  </w:footnote>
  <w:footnote w:type="continuationSeparator" w:id="0">
    <w:p w14:paraId="6BD9CB06" w14:textId="77777777" w:rsidR="00C87E7F" w:rsidRPr="00B737EB" w:rsidRDefault="00C87E7F">
      <w:pPr>
        <w:spacing w:before="0" w:after="0"/>
        <w:rPr>
          <w:color w:val="2C384A" w:themeColor="accent1"/>
        </w:rPr>
      </w:pPr>
      <w:r w:rsidRPr="00B737EB">
        <w:rPr>
          <w:color w:val="2C384A" w:themeColor="accent1"/>
        </w:rPr>
        <w:continuationSeparator/>
      </w:r>
    </w:p>
  </w:footnote>
  <w:footnote w:type="continuationNotice" w:id="1">
    <w:p w14:paraId="6C28BDFC" w14:textId="77777777" w:rsidR="00C87E7F" w:rsidRDefault="00C87E7F">
      <w:pPr>
        <w:spacing w:before="0" w:after="0"/>
      </w:pPr>
    </w:p>
  </w:footnote>
  <w:footnote w:id="2">
    <w:p w14:paraId="732FFC85" w14:textId="477FEAEA" w:rsidR="003156B4" w:rsidRPr="00572FDB" w:rsidRDefault="00755EBF" w:rsidP="00572FDB">
      <w:pPr>
        <w:pStyle w:val="FootnoteText"/>
      </w:pPr>
      <w:r w:rsidRPr="00755EBF">
        <w:footnoteRef/>
      </w:r>
      <w:r w:rsidR="003156B4" w:rsidRPr="00572FDB">
        <w:t xml:space="preserve"> </w:t>
      </w:r>
      <w:r w:rsidR="00501363">
        <w:tab/>
      </w:r>
      <w:r w:rsidR="003156B4" w:rsidRPr="00572FDB">
        <w:t xml:space="preserve">This </w:t>
      </w:r>
      <w:r w:rsidR="008E1A24">
        <w:t xml:space="preserve">article </w:t>
      </w:r>
      <w:r w:rsidR="0088487E">
        <w:t>is based</w:t>
      </w:r>
      <w:r w:rsidR="003156B4" w:rsidRPr="00572FDB">
        <w:t xml:space="preserve"> on </w:t>
      </w:r>
      <w:r w:rsidR="001E4A4F">
        <w:t xml:space="preserve">internal work </w:t>
      </w:r>
      <w:r w:rsidR="0088487E">
        <w:t>co-</w:t>
      </w:r>
      <w:r w:rsidR="006C33F1">
        <w:t>authored</w:t>
      </w:r>
      <w:r w:rsidR="003156B4" w:rsidRPr="00572FDB">
        <w:t xml:space="preserve"> </w:t>
      </w:r>
      <w:r w:rsidR="0088487E">
        <w:t xml:space="preserve">with </w:t>
      </w:r>
      <w:r w:rsidR="003156B4" w:rsidRPr="00572FDB">
        <w:t>Lucille Danks, Nathan Deutscher and Lachlan Vass</w:t>
      </w:r>
      <w:r w:rsidR="00622A59">
        <w:t xml:space="preserve"> while working for the </w:t>
      </w:r>
      <w:r w:rsidR="0088487E">
        <w:t xml:space="preserve">Australian </w:t>
      </w:r>
      <w:r w:rsidR="00622A59">
        <w:t>Treasury</w:t>
      </w:r>
      <w:r w:rsidR="003156B4" w:rsidRPr="00572FDB">
        <w:t xml:space="preserve">. </w:t>
      </w:r>
      <w:r w:rsidR="00EB3353">
        <w:t>I would also like to thank Joseph Walters, Grace Nagle, Will Mackey, Jonathan Hambur,</w:t>
      </w:r>
      <w:r w:rsidR="00EB3353" w:rsidRPr="008B6801">
        <w:t xml:space="preserve"> </w:t>
      </w:r>
      <w:r w:rsidR="00EB3353">
        <w:t>Dan Ledda</w:t>
      </w:r>
      <w:r w:rsidR="007209A0">
        <w:t xml:space="preserve">, </w:t>
      </w:r>
      <w:r w:rsidR="00EB3353">
        <w:t>Rebecca Cassells</w:t>
      </w:r>
      <w:r w:rsidR="007209A0">
        <w:t xml:space="preserve">, </w:t>
      </w:r>
      <w:r w:rsidR="000E4337">
        <w:t>Paul Cotterill, Anna Brown</w:t>
      </w:r>
      <w:r w:rsidR="00756A1B">
        <w:t>, Patrick Fazzone, Aaron Van Bridges, Shaheen Iqbal</w:t>
      </w:r>
      <w:r w:rsidR="00C45EA6">
        <w:t>, Simon Ricketts</w:t>
      </w:r>
      <w:r w:rsidR="00592A4F">
        <w:t xml:space="preserve"> and</w:t>
      </w:r>
      <w:r w:rsidR="00756A1B">
        <w:t xml:space="preserve"> Damien White </w:t>
      </w:r>
      <w:r w:rsidR="00EB3353">
        <w:t>for their feedback and assistance for the note.</w:t>
      </w:r>
      <w:r w:rsidR="00A27C2E">
        <w:br/>
      </w:r>
      <w:r w:rsidR="00A27C2E" w:rsidRPr="0087305C">
        <w:t>The view</w:t>
      </w:r>
      <w:r w:rsidR="00A27C2E">
        <w:t>s</w:t>
      </w:r>
      <w:r w:rsidR="00A27C2E" w:rsidRPr="0087305C">
        <w:t xml:space="preserve"> expressed are those of the author and do not necessarily reflect those of the Australian Treasury or the Australian Government.</w:t>
      </w:r>
    </w:p>
  </w:footnote>
  <w:footnote w:id="3">
    <w:p w14:paraId="6D3D41FE" w14:textId="1308B276" w:rsidR="003C5318" w:rsidRPr="003E1910" w:rsidRDefault="00755EBF" w:rsidP="003E1910">
      <w:pPr>
        <w:pStyle w:val="FootnoteText"/>
      </w:pPr>
      <w:r w:rsidRPr="00755EBF">
        <w:footnoteRef/>
      </w:r>
      <w:r w:rsidR="003C5318" w:rsidRPr="003E1910">
        <w:t xml:space="preserve"> </w:t>
      </w:r>
      <w:bookmarkStart w:id="3" w:name="_Hlk79590920"/>
      <w:r w:rsidR="00501363" w:rsidRPr="003E1910">
        <w:tab/>
      </w:r>
      <w:r w:rsidR="003C5318" w:rsidRPr="003E1910">
        <w:t>Number of Temporary visa holders in Australia, Department of Home Affairs</w:t>
      </w:r>
      <w:bookmarkEnd w:id="3"/>
      <w:r w:rsidR="003C5318" w:rsidRPr="003E1910">
        <w:t xml:space="preserve"> as of 31/12/2021. Excludes New Zealand citizens, Visitors and Crew and Transit.</w:t>
      </w:r>
    </w:p>
  </w:footnote>
  <w:footnote w:id="4">
    <w:p w14:paraId="6219A77B" w14:textId="10F89199" w:rsidR="003C5318" w:rsidRDefault="00755EBF" w:rsidP="003E1910">
      <w:pPr>
        <w:pStyle w:val="FootnoteText"/>
      </w:pPr>
      <w:r w:rsidRPr="00755EBF">
        <w:footnoteRef/>
      </w:r>
      <w:r w:rsidR="003C5318" w:rsidRPr="003E1910">
        <w:t xml:space="preserve"> </w:t>
      </w:r>
      <w:r w:rsidR="00501363" w:rsidRPr="003E1910">
        <w:tab/>
      </w:r>
      <w:r w:rsidR="003C5318" w:rsidRPr="003E1910">
        <w:t xml:space="preserve">For example, greater use of machines to assist in fruit picking: </w:t>
      </w:r>
      <w:hyperlink r:id="rId1" w:history="1">
        <w:r w:rsidR="003C5318" w:rsidRPr="003E1910">
          <w:rPr>
            <w:rStyle w:val="Hyperlink"/>
            <w:color w:val="auto"/>
            <w:u w:val="none"/>
          </w:rPr>
          <w:t>https://www.abc.net.au/news/rural/2020</w:t>
        </w:r>
        <w:r w:rsidR="00C34305" w:rsidRPr="003E1910">
          <w:rPr>
            <w:rStyle w:val="Hyperlink"/>
            <w:color w:val="auto"/>
            <w:u w:val="none"/>
          </w:rPr>
          <w:noBreakHyphen/>
        </w:r>
        <w:r w:rsidR="003C5318" w:rsidRPr="003E1910">
          <w:rPr>
            <w:rStyle w:val="Hyperlink"/>
            <w:color w:val="auto"/>
            <w:u w:val="none"/>
          </w:rPr>
          <w:t>11</w:t>
        </w:r>
        <w:r w:rsidR="00C34305" w:rsidRPr="003E1910">
          <w:rPr>
            <w:rStyle w:val="Hyperlink"/>
            <w:color w:val="auto"/>
            <w:u w:val="none"/>
          </w:rPr>
          <w:noBreakHyphen/>
        </w:r>
        <w:r w:rsidR="003C5318" w:rsidRPr="003E1910">
          <w:rPr>
            <w:rStyle w:val="Hyperlink"/>
            <w:color w:val="auto"/>
            <w:u w:val="none"/>
          </w:rPr>
          <w:t>28/clive</w:t>
        </w:r>
        <w:r w:rsidR="00C34305" w:rsidRPr="003E1910">
          <w:rPr>
            <w:rStyle w:val="Hyperlink"/>
            <w:color w:val="auto"/>
            <w:u w:val="none"/>
          </w:rPr>
          <w:noBreakHyphen/>
        </w:r>
        <w:r w:rsidR="003C5318" w:rsidRPr="003E1910">
          <w:rPr>
            <w:rStyle w:val="Hyperlink"/>
            <w:color w:val="auto"/>
            <w:u w:val="none"/>
          </w:rPr>
          <w:t>the</w:t>
        </w:r>
        <w:r w:rsidR="00C34305" w:rsidRPr="003E1910">
          <w:rPr>
            <w:rStyle w:val="Hyperlink"/>
            <w:color w:val="auto"/>
            <w:u w:val="none"/>
          </w:rPr>
          <w:noBreakHyphen/>
        </w:r>
        <w:r w:rsidR="003C5318" w:rsidRPr="003E1910">
          <w:rPr>
            <w:rStyle w:val="Hyperlink"/>
            <w:color w:val="auto"/>
            <w:u w:val="none"/>
          </w:rPr>
          <w:t>robot</w:t>
        </w:r>
        <w:r w:rsidR="00C34305" w:rsidRPr="003E1910">
          <w:rPr>
            <w:rStyle w:val="Hyperlink"/>
            <w:color w:val="auto"/>
            <w:u w:val="none"/>
          </w:rPr>
          <w:noBreakHyphen/>
        </w:r>
        <w:r w:rsidR="003C5318" w:rsidRPr="003E1910">
          <w:rPr>
            <w:rStyle w:val="Hyperlink"/>
            <w:color w:val="auto"/>
            <w:u w:val="none"/>
          </w:rPr>
          <w:t>fruit</w:t>
        </w:r>
        <w:r w:rsidR="00C34305" w:rsidRPr="003E1910">
          <w:rPr>
            <w:rStyle w:val="Hyperlink"/>
            <w:color w:val="auto"/>
            <w:u w:val="none"/>
          </w:rPr>
          <w:noBreakHyphen/>
        </w:r>
        <w:r w:rsidR="003C5318" w:rsidRPr="003E1910">
          <w:rPr>
            <w:rStyle w:val="Hyperlink"/>
            <w:color w:val="auto"/>
            <w:u w:val="none"/>
          </w:rPr>
          <w:t>picker</w:t>
        </w:r>
        <w:r w:rsidR="00C34305" w:rsidRPr="003E1910">
          <w:rPr>
            <w:rStyle w:val="Hyperlink"/>
            <w:color w:val="auto"/>
            <w:u w:val="none"/>
          </w:rPr>
          <w:noBreakHyphen/>
        </w:r>
        <w:r w:rsidR="003C5318" w:rsidRPr="003E1910">
          <w:rPr>
            <w:rStyle w:val="Hyperlink"/>
            <w:color w:val="auto"/>
            <w:u w:val="none"/>
          </w:rPr>
          <w:t>goulburn</w:t>
        </w:r>
        <w:r w:rsidR="00C34305" w:rsidRPr="003E1910">
          <w:rPr>
            <w:rStyle w:val="Hyperlink"/>
            <w:color w:val="auto"/>
            <w:u w:val="none"/>
          </w:rPr>
          <w:noBreakHyphen/>
        </w:r>
        <w:r w:rsidR="003C5318" w:rsidRPr="003E1910">
          <w:rPr>
            <w:rStyle w:val="Hyperlink"/>
            <w:color w:val="auto"/>
            <w:u w:val="none"/>
          </w:rPr>
          <w:t>valley/12928460</w:t>
        </w:r>
      </w:hyperlink>
      <w:r w:rsidR="003C5318" w:rsidRPr="003E1910">
        <w:t>.</w:t>
      </w:r>
    </w:p>
  </w:footnote>
  <w:footnote w:id="5">
    <w:p w14:paraId="2B189C48" w14:textId="1A4550A0" w:rsidR="003C5318" w:rsidRPr="007E2CF3" w:rsidRDefault="00755EBF" w:rsidP="007E2CF3">
      <w:pPr>
        <w:pStyle w:val="FootnoteText"/>
      </w:pPr>
      <w:r w:rsidRPr="00755EBF">
        <w:footnoteRef/>
      </w:r>
      <w:r w:rsidR="003C5318" w:rsidRPr="007E2CF3">
        <w:t xml:space="preserve"> </w:t>
      </w:r>
      <w:r w:rsidR="00636B95" w:rsidRPr="007E2CF3">
        <w:tab/>
      </w:r>
      <w:r w:rsidR="003C5318" w:rsidRPr="007E2CF3">
        <w:t>This may understate the number of jobs lost in some industries, where more jobs were lost through firm exits than were created through the establishment of new firms</w:t>
      </w:r>
      <w:r w:rsidR="00A054B8" w:rsidRPr="007E2CF3">
        <w:t>.</w:t>
      </w:r>
    </w:p>
  </w:footnote>
  <w:footnote w:id="6">
    <w:p w14:paraId="6A3048A6" w14:textId="517019D2" w:rsidR="003C5318" w:rsidRPr="007E2CF3" w:rsidRDefault="00755EBF" w:rsidP="007E2CF3">
      <w:pPr>
        <w:pStyle w:val="FootnoteText"/>
      </w:pPr>
      <w:r w:rsidRPr="00755EBF">
        <w:footnoteRef/>
      </w:r>
      <w:r w:rsidR="003C5318" w:rsidRPr="007E2CF3">
        <w:t xml:space="preserve"> </w:t>
      </w:r>
      <w:r w:rsidR="00636B95" w:rsidRPr="007E2CF3">
        <w:tab/>
      </w:r>
      <w:r w:rsidR="003C5318" w:rsidRPr="007E2CF3">
        <w:t>Robustness checks have been completed to ensure the trends reported are not driven by seasonality effects</w:t>
      </w:r>
      <w:r w:rsidR="00A054B8" w:rsidRPr="007E2CF3">
        <w:t>.</w:t>
      </w:r>
    </w:p>
  </w:footnote>
  <w:footnote w:id="7">
    <w:p w14:paraId="361C49AF" w14:textId="6A21F705" w:rsidR="00942304" w:rsidRDefault="00755EBF" w:rsidP="00942304">
      <w:pPr>
        <w:pStyle w:val="FootnoteText"/>
      </w:pPr>
      <w:r w:rsidRPr="00755EBF">
        <w:footnoteRef/>
      </w:r>
      <w:r w:rsidR="00942304" w:rsidRPr="007E2CF3">
        <w:t xml:space="preserve"> </w:t>
      </w:r>
      <w:r w:rsidR="00942304" w:rsidRPr="007E2CF3">
        <w:tab/>
        <w:t xml:space="preserve">See Chart </w:t>
      </w:r>
      <w:r w:rsidR="002C22B6">
        <w:t>A2</w:t>
      </w:r>
      <w:r w:rsidR="005C0157">
        <w:t>, Appendix</w:t>
      </w:r>
      <w:r w:rsidR="00E1143F">
        <w:t>,</w:t>
      </w:r>
      <w:r w:rsidR="00C039A9" w:rsidRPr="007E2CF3">
        <w:t xml:space="preserve"> </w:t>
      </w:r>
      <w:r w:rsidR="00942304" w:rsidRPr="007E2CF3">
        <w:t>for a distribution of firms, total jobs and temporary migrant jobs by firms’ reliance on temporary migrant workers pre</w:t>
      </w:r>
      <w:r w:rsidR="00942304" w:rsidRPr="007E2CF3">
        <w:noBreakHyphen/>
        <w:t>COVID</w:t>
      </w:r>
      <w:r w:rsidR="00942304" w:rsidRPr="007E2CF3">
        <w:noBreakHyphen/>
        <w:t xml:space="preserve">19. This gives a sense of the relative importance of each </w:t>
      </w:r>
      <w:r w:rsidR="003A2324">
        <w:t>grouping</w:t>
      </w:r>
      <w:r w:rsidR="00942304" w:rsidRPr="007E2CF3">
        <w:t>, and its contribution to total jobs.</w:t>
      </w:r>
    </w:p>
  </w:footnote>
  <w:footnote w:id="8">
    <w:p w14:paraId="11A5A687" w14:textId="241CC844" w:rsidR="00A667A1" w:rsidRDefault="00755EBF">
      <w:pPr>
        <w:pStyle w:val="FootnoteText"/>
      </w:pPr>
      <w:r w:rsidRPr="00755EBF">
        <w:rPr>
          <w:rStyle w:val="FootnoteReference"/>
          <w:vertAlign w:val="baseline"/>
        </w:rPr>
        <w:footnoteRef/>
      </w:r>
      <w:r w:rsidR="00A667A1">
        <w:t xml:space="preserve"> </w:t>
      </w:r>
      <w:r w:rsidR="00011FF1">
        <w:t xml:space="preserve"> </w:t>
      </w:r>
      <w:r w:rsidR="00011FF1">
        <w:tab/>
      </w:r>
      <w:r w:rsidR="00D141DF">
        <w:t>STP</w:t>
      </w:r>
      <w:r w:rsidR="004120C8">
        <w:t xml:space="preserve"> data </w:t>
      </w:r>
      <w:r w:rsidR="001A7DF6">
        <w:t xml:space="preserve">covers </w:t>
      </w:r>
      <w:r w:rsidR="002B3082">
        <w:t>around</w:t>
      </w:r>
      <w:r w:rsidR="00011FF1">
        <w:t xml:space="preserve"> 99 per cent of employers with 20 employees or more</w:t>
      </w:r>
      <w:r w:rsidR="00606B84">
        <w:t>. However,</w:t>
      </w:r>
      <w:r w:rsidR="007E1A9A">
        <w:t xml:space="preserve"> employees of small businesses are under-represented, with </w:t>
      </w:r>
      <w:r w:rsidR="00D141DF">
        <w:t>over</w:t>
      </w:r>
      <w:r w:rsidR="00011FF1">
        <w:t xml:space="preserve"> 80 per cent </w:t>
      </w:r>
      <w:r w:rsidR="00D141DF">
        <w:t xml:space="preserve">of those employing 19 people or less. </w:t>
      </w:r>
    </w:p>
  </w:footnote>
  <w:footnote w:id="9">
    <w:p w14:paraId="03A4E08E" w14:textId="0F4A5608" w:rsidR="006772E1" w:rsidRDefault="00755EBF">
      <w:pPr>
        <w:pStyle w:val="FootnoteText"/>
      </w:pPr>
      <w:r w:rsidRPr="00755EBF">
        <w:rPr>
          <w:rStyle w:val="FootnoteReference"/>
          <w:vertAlign w:val="baseline"/>
        </w:rPr>
        <w:footnoteRef/>
      </w:r>
      <w:r w:rsidR="006772E1">
        <w:t xml:space="preserve"> </w:t>
      </w:r>
      <w:r>
        <w:tab/>
      </w:r>
      <w:r w:rsidR="006772E1">
        <w:t xml:space="preserve">This </w:t>
      </w:r>
      <w:r w:rsidR="00133934">
        <w:t xml:space="preserve">analysis excludes </w:t>
      </w:r>
      <w:r w:rsidR="00C77BC3">
        <w:t xml:space="preserve">pay </w:t>
      </w:r>
      <w:r w:rsidR="006772E1">
        <w:t>from</w:t>
      </w:r>
      <w:r w:rsidR="000E39EA">
        <w:t xml:space="preserve"> allowances. </w:t>
      </w:r>
    </w:p>
  </w:footnote>
  <w:footnote w:id="10">
    <w:p w14:paraId="48B3FC69" w14:textId="6EE76014" w:rsidR="003C5318" w:rsidRDefault="00755EBF" w:rsidP="003C5318">
      <w:pPr>
        <w:pStyle w:val="FootnoteText"/>
      </w:pPr>
      <w:r w:rsidRPr="00755EBF">
        <w:rPr>
          <w:rStyle w:val="FootnoteReference"/>
          <w:vertAlign w:val="baseline"/>
        </w:rPr>
        <w:footnoteRef/>
      </w:r>
      <w:r w:rsidR="003C5318">
        <w:t xml:space="preserve"> </w:t>
      </w:r>
      <w:r w:rsidR="004032B1">
        <w:tab/>
      </w:r>
      <w:r w:rsidR="003C5318">
        <w:t>Changes in capital investment are not directly analysed in this note due to data limitations</w:t>
      </w:r>
      <w:r w:rsidR="00371734">
        <w:t>.</w:t>
      </w:r>
      <w:r w:rsidR="003C5318">
        <w:t xml:space="preserve"> </w:t>
      </w:r>
    </w:p>
  </w:footnote>
  <w:footnote w:id="11">
    <w:p w14:paraId="3BE7340B" w14:textId="7D221221" w:rsidR="003C5318" w:rsidRDefault="00755EBF" w:rsidP="003C5318">
      <w:pPr>
        <w:pStyle w:val="FootnoteText"/>
      </w:pPr>
      <w:r w:rsidRPr="00755EBF">
        <w:rPr>
          <w:rStyle w:val="FootnoteReference"/>
          <w:vertAlign w:val="baseline"/>
        </w:rPr>
        <w:footnoteRef/>
      </w:r>
      <w:r w:rsidR="003C5318">
        <w:t xml:space="preserve"> </w:t>
      </w:r>
      <w:r w:rsidR="004032B1">
        <w:tab/>
      </w:r>
      <w:r w:rsidR="003C5318">
        <w:t>The JobKeeper payment was in place from 2020 Q2 – 2021 Q1 and this may have affected turnover results for this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B3F3" w14:textId="77777777" w:rsidR="002567AD" w:rsidRPr="00AC75E2" w:rsidRDefault="002567AD" w:rsidP="00AC75E2">
    <w:pPr>
      <w:pStyle w:val="HeaderEven"/>
    </w:pPr>
    <w:r>
      <w:rPr>
        <w:noProof/>
      </w:rPr>
      <w:drawing>
        <wp:anchor distT="0" distB="0" distL="114300" distR="114300" simplePos="0" relativeHeight="251658240" behindDoc="1" locked="1" layoutInCell="1" allowOverlap="1" wp14:anchorId="0C7DB884" wp14:editId="5FFE59F7">
          <wp:simplePos x="0" y="0"/>
          <wp:positionH relativeFrom="page">
            <wp:posOffset>3810</wp:posOffset>
          </wp:positionH>
          <wp:positionV relativeFrom="page">
            <wp:posOffset>0</wp:posOffset>
          </wp:positionV>
          <wp:extent cx="7551420" cy="1083310"/>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1420" cy="1083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ECB0" w14:textId="5913147D" w:rsidR="002567AD" w:rsidRPr="00F60198" w:rsidRDefault="00E85C8B" w:rsidP="00E85C8B">
    <w:pPr>
      <w:pStyle w:val="Header"/>
    </w:pPr>
    <w:r>
      <w:t>Treasury Round Up</w:t>
    </w:r>
    <w:r>
      <w:rPr>
        <w:noProof/>
      </w:rPr>
      <w:drawing>
        <wp:anchor distT="0" distB="0" distL="114300" distR="114300" simplePos="0" relativeHeight="251658241" behindDoc="1" locked="0" layoutInCell="1" allowOverlap="1" wp14:anchorId="20FC7B48" wp14:editId="11124FDA">
          <wp:simplePos x="0" y="0"/>
          <wp:positionH relativeFrom="page">
            <wp:align>left</wp:align>
          </wp:positionH>
          <wp:positionV relativeFrom="page">
            <wp:align>top</wp:align>
          </wp:positionV>
          <wp:extent cx="7524000" cy="1036800"/>
          <wp:effectExtent l="0" t="0" r="127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4000" cy="1036800"/>
                  </a:xfrm>
                  <a:prstGeom prst="rect">
                    <a:avLst/>
                  </a:prstGeom>
                  <a:extLst>
                    <a:ext uri="{FAA26D3D-D897-4be2-8F04-BA451C77F1D7}">
                      <ma14:placeholderFlag xmlns:adec="http://schemas.microsoft.com/office/drawing/2017/decorativ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r>
      <w:t xml:space="preserve">  |  </w:t>
    </w:r>
    <w:r w:rsidR="004E09F4">
      <w:t>March</w:t>
    </w:r>
    <w:r>
      <w:t xml:space="preserve"> 202</w:t>
    </w:r>
    <w:r w:rsidR="008A1F2A">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40DE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242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3836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821A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76DF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09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86FC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46DCD2"/>
    <w:lvl w:ilvl="0">
      <w:start w:val="1"/>
      <w:numFmt w:val="bullet"/>
      <w:lvlText w:val="-"/>
      <w:lvlJc w:val="left"/>
      <w:pPr>
        <w:tabs>
          <w:tab w:val="num" w:pos="623"/>
        </w:tabs>
        <w:ind w:left="623" w:hanging="340"/>
      </w:pPr>
      <w:rPr>
        <w:rFonts w:ascii="9999999" w:hAnsi="9999999" w:cs="Courier New" w:hint="default"/>
      </w:rPr>
    </w:lvl>
  </w:abstractNum>
  <w:abstractNum w:abstractNumId="8" w15:restartNumberingAfterBreak="0">
    <w:nsid w:val="FFFFFF88"/>
    <w:multiLevelType w:val="singleLevel"/>
    <w:tmpl w:val="32ECF7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B46F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942C8"/>
    <w:multiLevelType w:val="multilevel"/>
    <w:tmpl w:val="B17EC1AE"/>
    <w:lvl w:ilvl="0">
      <w:start w:val="1"/>
      <w:numFmt w:val="decimal"/>
      <w:pStyle w:val="BoxHeadingPolicy"/>
      <w:lvlText w:val="Policy direction %1"/>
      <w:lvlJc w:val="left"/>
      <w:pPr>
        <w:ind w:left="0" w:firstLine="0"/>
      </w:pPr>
      <w:rPr>
        <w:rFonts w:ascii="Calibri Light" w:hAnsi="Calibri Light" w:hint="default"/>
        <w:b/>
        <w:i w:val="0"/>
        <w:sz w:val="26"/>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0B8F13AF"/>
    <w:multiLevelType w:val="multilevel"/>
    <w:tmpl w:val="3E663956"/>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EB1DC8"/>
    <w:multiLevelType w:val="multilevel"/>
    <w:tmpl w:val="DC1A4F9A"/>
    <w:lvl w:ilvl="0">
      <w:start w:val="1"/>
      <w:numFmt w:val="lowerLetter"/>
      <w:pStyle w:val="ChartandTableFootnoteAlpha"/>
      <w:lvlText w:val="(%1)"/>
      <w:lvlJc w:val="left"/>
      <w:pPr>
        <w:tabs>
          <w:tab w:val="num" w:pos="284"/>
        </w:tabs>
        <w:ind w:left="851" w:hanging="567"/>
      </w:pPr>
      <w:rPr>
        <w:rFonts w:asciiTheme="minorHAnsi" w:hAnsiTheme="minorHAnsi" w:hint="default"/>
        <w:b w:val="0"/>
        <w:i w:val="0"/>
        <w:caps w:val="0"/>
        <w:strike w:val="0"/>
        <w:dstrike w:val="0"/>
        <w:vanish w:val="0"/>
        <w:color w:val="auto"/>
        <w:sz w:val="16"/>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0C0FEA"/>
    <w:multiLevelType w:val="multilevel"/>
    <w:tmpl w:val="143A4AF6"/>
    <w:styleLink w:val="StyleBulletedSymbolsymbol11ptLeft4cmHanging05"/>
    <w:lvl w:ilvl="0">
      <w:start w:val="1"/>
      <w:numFmt w:val="bullet"/>
      <w:lvlText w:val=""/>
      <w:lvlJc w:val="left"/>
      <w:pPr>
        <w:tabs>
          <w:tab w:val="num" w:pos="340"/>
        </w:tabs>
        <w:ind w:left="340" w:hanging="34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CC4E5D"/>
    <w:multiLevelType w:val="multilevel"/>
    <w:tmpl w:val="D10E9CF6"/>
    <w:numStyleLink w:val="OneLevelList"/>
  </w:abstractNum>
  <w:abstractNum w:abstractNumId="17" w15:restartNumberingAfterBreak="0">
    <w:nsid w:val="17DF7717"/>
    <w:multiLevelType w:val="multilevel"/>
    <w:tmpl w:val="BF66447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Numbered"/>
      <w:lvlText w:val="%1.%2.%3.%4.%5"/>
      <w:lvlJc w:val="left"/>
      <w:pPr>
        <w:ind w:left="851" w:hanging="851"/>
      </w:pPr>
      <w:rPr>
        <w:rFonts w:hint="default"/>
      </w:rPr>
    </w:lvl>
    <w:lvl w:ilvl="5">
      <w:start w:val="1"/>
      <w:numFmt w:val="decimal"/>
      <w:lvlRestart w:val="0"/>
      <w:lvlText w:val="Box %6"/>
      <w:lvlJc w:val="left"/>
      <w:pPr>
        <w:ind w:left="851" w:hanging="851"/>
      </w:pPr>
      <w:rPr>
        <w:rFonts w:hint="default"/>
      </w:rPr>
    </w:lvl>
    <w:lvl w:ilvl="6">
      <w:start w:val="1"/>
      <w:numFmt w:val="decimal"/>
      <w:lvlRestart w:val="1"/>
      <w:lvlText w:val="Figure %1.%7"/>
      <w:lvlJc w:val="left"/>
      <w:pPr>
        <w:ind w:left="851" w:hanging="851"/>
      </w:pPr>
      <w:rPr>
        <w:rFonts w:hint="default"/>
      </w:rPr>
    </w:lvl>
    <w:lvl w:ilvl="7">
      <w:start w:val="1"/>
      <w:numFmt w:val="decimal"/>
      <w:lvlRestart w:val="1"/>
      <w:lvlText w:val="Chart %1.%8"/>
      <w:lvlJc w:val="left"/>
      <w:pPr>
        <w:ind w:left="1134" w:hanging="1134"/>
      </w:pPr>
    </w:lvl>
    <w:lvl w:ilvl="8">
      <w:start w:val="1"/>
      <w:numFmt w:val="decimal"/>
      <w:lvlRestart w:val="1"/>
      <w:lvlText w:val="Table %1.%9"/>
      <w:lvlJc w:val="left"/>
      <w:pPr>
        <w:ind w:left="851" w:hanging="851"/>
      </w:pPr>
      <w:rPr>
        <w:rFonts w:hint="default"/>
      </w:rPr>
    </w:lvl>
  </w:abstractNum>
  <w:abstractNum w:abstractNumId="1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15:restartNumberingAfterBreak="0">
    <w:nsid w:val="277B46D1"/>
    <w:multiLevelType w:val="singleLevel"/>
    <w:tmpl w:val="890880B8"/>
    <w:lvl w:ilvl="0">
      <w:start w:val="1"/>
      <w:numFmt w:val="bullet"/>
      <w:lvlText w:val=""/>
      <w:lvlJc w:val="left"/>
      <w:pPr>
        <w:tabs>
          <w:tab w:val="num" w:pos="340"/>
        </w:tabs>
        <w:ind w:left="340" w:hanging="340"/>
      </w:pPr>
      <w:rPr>
        <w:rFonts w:ascii="Symbol" w:hAnsi="Symbol" w:hint="default"/>
        <w:color w:val="auto"/>
        <w:sz w:val="22"/>
      </w:rPr>
    </w:lvl>
  </w:abstractNum>
  <w:abstractNum w:abstractNumId="2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08C2710"/>
    <w:multiLevelType w:val="multilevel"/>
    <w:tmpl w:val="29D2B774"/>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29C3F94"/>
    <w:multiLevelType w:val="multilevel"/>
    <w:tmpl w:val="6596B99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255220"/>
    <w:multiLevelType w:val="hybridMultilevel"/>
    <w:tmpl w:val="896096F6"/>
    <w:lvl w:ilvl="0" w:tplc="2CA0605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7B47B4"/>
    <w:multiLevelType w:val="multilevel"/>
    <w:tmpl w:val="EDCE922A"/>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9283B4E"/>
    <w:multiLevelType w:val="multilevel"/>
    <w:tmpl w:val="F12831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Restart w:val="1"/>
      <w:lvlText w:val="Chart %1.%5"/>
      <w:lvlJc w:val="left"/>
      <w:pPr>
        <w:ind w:left="1418" w:hanging="1418"/>
      </w:pPr>
      <w:rPr>
        <w:rFonts w:hint="default"/>
      </w:rPr>
    </w:lvl>
    <w:lvl w:ilvl="5">
      <w:start w:val="1"/>
      <w:numFmt w:val="decimal"/>
      <w:lvlRestart w:val="1"/>
      <w:lvlText w:val="Table %1.%6."/>
      <w:lvlJc w:val="left"/>
      <w:pPr>
        <w:ind w:left="1418" w:hanging="1418"/>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30" w15:restartNumberingAfterBreak="0">
    <w:nsid w:val="510D2021"/>
    <w:multiLevelType w:val="multilevel"/>
    <w:tmpl w:val="72F8140E"/>
    <w:numStyleLink w:val="OutlineList"/>
  </w:abstractNum>
  <w:abstractNum w:abstractNumId="31"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6C9273A"/>
    <w:multiLevelType w:val="multilevel"/>
    <w:tmpl w:val="CAE424B0"/>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567" w:hanging="567"/>
      </w:pPr>
      <w:rPr>
        <w:rFonts w:hint="default"/>
      </w:rPr>
    </w:lvl>
    <w:lvl w:ilvl="3">
      <w:start w:val="1"/>
      <w:numFmt w:val="decimal"/>
      <w:pStyle w:val="Heading4Numbered"/>
      <w:lvlText w:val="%1.%2.%3.%4"/>
      <w:lvlJc w:val="left"/>
      <w:pPr>
        <w:ind w:left="567" w:hanging="567"/>
      </w:pPr>
      <w:rPr>
        <w:rFonts w:hint="default"/>
      </w:rPr>
    </w:lvl>
    <w:lvl w:ilvl="4">
      <w:start w:val="1"/>
      <w:numFmt w:val="decimal"/>
      <w:lvlRestart w:val="1"/>
      <w:pStyle w:val="ChartMainHeading"/>
      <w:lvlText w:val="Chart %1.%5"/>
      <w:lvlJc w:val="left"/>
      <w:pPr>
        <w:ind w:left="1134" w:hanging="1134"/>
      </w:pPr>
      <w:rPr>
        <w:rFonts w:hint="default"/>
      </w:rPr>
    </w:lvl>
    <w:lvl w:ilvl="5">
      <w:start w:val="1"/>
      <w:numFmt w:val="decimal"/>
      <w:lvlRestart w:val="1"/>
      <w:pStyle w:val="TableMainHeading"/>
      <w:lvlText w:val="Table %1.%6"/>
      <w:lvlJc w:val="left"/>
      <w:pPr>
        <w:ind w:left="1134" w:hanging="1134"/>
      </w:pPr>
      <w:rPr>
        <w:rFonts w:hint="default"/>
      </w:rPr>
    </w:lvl>
    <w:lvl w:ilvl="6">
      <w:start w:val="1"/>
      <w:numFmt w:val="decimal"/>
      <w:lvlRestart w:val="1"/>
      <w:pStyle w:val="BoxHeadingNumbered"/>
      <w:lvlText w:val="Box %1.%7"/>
      <w:lvlJc w:val="left"/>
      <w:pPr>
        <w:ind w:left="1134" w:hanging="1134"/>
      </w:pPr>
      <w:rPr>
        <w:rFonts w:hint="default"/>
      </w:rPr>
    </w:lvl>
    <w:lvl w:ilvl="7">
      <w:start w:val="1"/>
      <w:numFmt w:val="decimal"/>
      <w:lvlRestart w:val="1"/>
      <w:pStyle w:val="FigureMainHeading"/>
      <w:lvlText w:val="Figure %1.%8"/>
      <w:lvlJc w:val="left"/>
      <w:pPr>
        <w:ind w:left="1134" w:hanging="1134"/>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7AD61FE"/>
    <w:multiLevelType w:val="singleLevel"/>
    <w:tmpl w:val="12BC0E22"/>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5B8E0DED"/>
    <w:multiLevelType w:val="hybridMultilevel"/>
    <w:tmpl w:val="420E9DAE"/>
    <w:lvl w:ilvl="0" w:tplc="5BCC39D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7334467"/>
    <w:multiLevelType w:val="multilevel"/>
    <w:tmpl w:val="F37ECF38"/>
    <w:styleLink w:val="StyleBulletedSymbolsymbol11ptLeft4cmHanging051"/>
    <w:lvl w:ilvl="0">
      <w:start w:val="1"/>
      <w:numFmt w:val="bullet"/>
      <w:lvlText w:val=""/>
      <w:lvlJc w:val="left"/>
      <w:pPr>
        <w:tabs>
          <w:tab w:val="num" w:pos="340"/>
        </w:tabs>
        <w:ind w:left="340" w:hanging="34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6B5224"/>
    <w:multiLevelType w:val="multilevel"/>
    <w:tmpl w:val="99D04666"/>
    <w:lvl w:ilvl="0">
      <w:start w:val="1"/>
      <w:numFmt w:val="bullet"/>
      <w:pStyle w:val="Bullet"/>
      <w:lvlText w:val="•"/>
      <w:lvlJc w:val="left"/>
      <w:pPr>
        <w:ind w:left="284" w:hanging="284"/>
      </w:pPr>
      <w:rPr>
        <w:rFonts w:ascii="Times New Roman" w:hAnsi="Times New Roman" w:cs="Times New Roman" w:hint="default"/>
        <w:color w:val="auto"/>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0" w15:restartNumberingAfterBreak="0">
    <w:nsid w:val="7ED8063F"/>
    <w:multiLevelType w:val="multilevel"/>
    <w:tmpl w:val="0E343280"/>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42" w15:restartNumberingAfterBreak="0">
    <w:nsid w:val="7FA36AF1"/>
    <w:multiLevelType w:val="multilevel"/>
    <w:tmpl w:val="6B5AB944"/>
    <w:lvl w:ilvl="0">
      <w:start w:val="1"/>
      <w:numFmt w:val="bullet"/>
      <w:lvlRestart w:val="0"/>
      <w:pStyle w:val="TableTextBullet"/>
      <w:lvlText w:val="•"/>
      <w:lvlJc w:val="left"/>
      <w:pPr>
        <w:ind w:left="284" w:hanging="284"/>
      </w:pPr>
      <w:rPr>
        <w:rFonts w:ascii="Times New Roman" w:hAnsi="Times New Roman" w:cs="Times New Roman" w:hint="default"/>
        <w:b w:val="0"/>
        <w:i w:val="0"/>
        <w:sz w:val="20"/>
      </w:rPr>
    </w:lvl>
    <w:lvl w:ilvl="1">
      <w:start w:val="1"/>
      <w:numFmt w:val="bullet"/>
      <w:pStyle w:val="TableTextDash"/>
      <w:lvlText w:val="–"/>
      <w:lvlJc w:val="left"/>
      <w:pPr>
        <w:tabs>
          <w:tab w:val="num" w:pos="567"/>
        </w:tabs>
        <w:ind w:left="568" w:hanging="284"/>
      </w:pPr>
      <w:rPr>
        <w:rFonts w:hint="default"/>
        <w:b w:val="0"/>
        <w:i w:val="0"/>
      </w:rPr>
    </w:lvl>
    <w:lvl w:ilvl="2">
      <w:start w:val="1"/>
      <w:numFmt w:val="bullet"/>
      <w:lvlText w:val=":"/>
      <w:lvlJc w:val="left"/>
      <w:pPr>
        <w:tabs>
          <w:tab w:val="num" w:pos="850"/>
        </w:tabs>
        <w:ind w:left="852" w:hanging="28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num w:numId="1">
    <w:abstractNumId w:val="21"/>
  </w:num>
  <w:num w:numId="2">
    <w:abstractNumId w:val="11"/>
  </w:num>
  <w:num w:numId="3">
    <w:abstractNumId w:val="25"/>
  </w:num>
  <w:num w:numId="4">
    <w:abstractNumId w:val="15"/>
  </w:num>
  <w:num w:numId="5">
    <w:abstractNumId w:val="16"/>
  </w:num>
  <w:num w:numId="6">
    <w:abstractNumId w:val="30"/>
  </w:num>
  <w:num w:numId="7">
    <w:abstractNumId w:val="23"/>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7"/>
  </w:num>
  <w:num w:numId="9">
    <w:abstractNumId w:val="12"/>
  </w:num>
  <w:num w:numId="10">
    <w:abstractNumId w:val="20"/>
  </w:num>
  <w:num w:numId="11">
    <w:abstractNumId w:val="39"/>
  </w:num>
  <w:num w:numId="12">
    <w:abstractNumId w:val="30"/>
  </w:num>
  <w:num w:numId="13">
    <w:abstractNumId w:val="41"/>
  </w:num>
  <w:num w:numId="14">
    <w:abstractNumId w:val="29"/>
  </w:num>
  <w:num w:numId="15">
    <w:abstractNumId w:val="18"/>
  </w:num>
  <w:num w:numId="16">
    <w:abstractNumId w:val="35"/>
  </w:num>
  <w:num w:numId="17">
    <w:abstractNumId w:val="23"/>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22"/>
  </w:num>
  <w:num w:numId="21">
    <w:abstractNumId w:val="31"/>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3"/>
  </w:num>
  <w:num w:numId="33">
    <w:abstractNumId w:val="42"/>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24"/>
  </w:num>
  <w:num w:numId="39">
    <w:abstractNumId w:val="40"/>
  </w:num>
  <w:num w:numId="40">
    <w:abstractNumId w:val="26"/>
  </w:num>
  <w:num w:numId="41">
    <w:abstractNumId w:val="14"/>
  </w:num>
  <w:num w:numId="42">
    <w:abstractNumId w:val="36"/>
  </w:num>
  <w:num w:numId="43">
    <w:abstractNumId w:val="33"/>
  </w:num>
  <w:num w:numId="44">
    <w:abstractNumId w:val="34"/>
  </w:num>
  <w:num w:numId="45">
    <w:abstractNumId w:val="19"/>
  </w:num>
  <w:num w:numId="46">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27"/>
  </w:num>
  <w:num w:numId="49">
    <w:abstractNumId w:val="32"/>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7C589A"/>
    <w:rsid w:val="000000BE"/>
    <w:rsid w:val="00000805"/>
    <w:rsid w:val="000021CA"/>
    <w:rsid w:val="00003381"/>
    <w:rsid w:val="0000370A"/>
    <w:rsid w:val="00006DC6"/>
    <w:rsid w:val="00007C68"/>
    <w:rsid w:val="00011725"/>
    <w:rsid w:val="00011FF1"/>
    <w:rsid w:val="000121CF"/>
    <w:rsid w:val="0001297C"/>
    <w:rsid w:val="00012C62"/>
    <w:rsid w:val="0001396A"/>
    <w:rsid w:val="00014730"/>
    <w:rsid w:val="00014B91"/>
    <w:rsid w:val="0002263C"/>
    <w:rsid w:val="00023C09"/>
    <w:rsid w:val="0002544D"/>
    <w:rsid w:val="00025F5C"/>
    <w:rsid w:val="0002715C"/>
    <w:rsid w:val="0003370C"/>
    <w:rsid w:val="00033D90"/>
    <w:rsid w:val="00033DD4"/>
    <w:rsid w:val="000349E9"/>
    <w:rsid w:val="00034ED6"/>
    <w:rsid w:val="000358B6"/>
    <w:rsid w:val="00035C13"/>
    <w:rsid w:val="00037402"/>
    <w:rsid w:val="00040B6E"/>
    <w:rsid w:val="00041F98"/>
    <w:rsid w:val="0004274D"/>
    <w:rsid w:val="00043348"/>
    <w:rsid w:val="000434A9"/>
    <w:rsid w:val="0004483F"/>
    <w:rsid w:val="00044D6A"/>
    <w:rsid w:val="00045975"/>
    <w:rsid w:val="00045FE7"/>
    <w:rsid w:val="00046CB4"/>
    <w:rsid w:val="0005138B"/>
    <w:rsid w:val="00051BD8"/>
    <w:rsid w:val="000522B7"/>
    <w:rsid w:val="00053717"/>
    <w:rsid w:val="00055281"/>
    <w:rsid w:val="00055309"/>
    <w:rsid w:val="00055735"/>
    <w:rsid w:val="000558EF"/>
    <w:rsid w:val="00055D99"/>
    <w:rsid w:val="00055E2C"/>
    <w:rsid w:val="000561FD"/>
    <w:rsid w:val="0005644B"/>
    <w:rsid w:val="00056880"/>
    <w:rsid w:val="00056EFD"/>
    <w:rsid w:val="0005727B"/>
    <w:rsid w:val="00057B1C"/>
    <w:rsid w:val="000600FF"/>
    <w:rsid w:val="00061CF4"/>
    <w:rsid w:val="00063876"/>
    <w:rsid w:val="00064D83"/>
    <w:rsid w:val="000658CA"/>
    <w:rsid w:val="000675D1"/>
    <w:rsid w:val="0006777C"/>
    <w:rsid w:val="00070D2B"/>
    <w:rsid w:val="0007309A"/>
    <w:rsid w:val="00073521"/>
    <w:rsid w:val="00073F43"/>
    <w:rsid w:val="000775DE"/>
    <w:rsid w:val="000779D3"/>
    <w:rsid w:val="00080D8C"/>
    <w:rsid w:val="0008102D"/>
    <w:rsid w:val="0008247E"/>
    <w:rsid w:val="00085713"/>
    <w:rsid w:val="00085BB4"/>
    <w:rsid w:val="00087476"/>
    <w:rsid w:val="00087FAF"/>
    <w:rsid w:val="00090389"/>
    <w:rsid w:val="00090931"/>
    <w:rsid w:val="00092257"/>
    <w:rsid w:val="000939B4"/>
    <w:rsid w:val="00093A1E"/>
    <w:rsid w:val="00095D88"/>
    <w:rsid w:val="000969D0"/>
    <w:rsid w:val="00097192"/>
    <w:rsid w:val="000A1026"/>
    <w:rsid w:val="000A2114"/>
    <w:rsid w:val="000A2B13"/>
    <w:rsid w:val="000A2BFC"/>
    <w:rsid w:val="000A2F6B"/>
    <w:rsid w:val="000A351E"/>
    <w:rsid w:val="000A6BE0"/>
    <w:rsid w:val="000A77B5"/>
    <w:rsid w:val="000A7D2F"/>
    <w:rsid w:val="000A7ED9"/>
    <w:rsid w:val="000B058B"/>
    <w:rsid w:val="000B093F"/>
    <w:rsid w:val="000B0C13"/>
    <w:rsid w:val="000B1C84"/>
    <w:rsid w:val="000B1F3C"/>
    <w:rsid w:val="000B20D0"/>
    <w:rsid w:val="000B226F"/>
    <w:rsid w:val="000B2D88"/>
    <w:rsid w:val="000B302A"/>
    <w:rsid w:val="000B6493"/>
    <w:rsid w:val="000B6766"/>
    <w:rsid w:val="000B7E4A"/>
    <w:rsid w:val="000C061C"/>
    <w:rsid w:val="000C0B23"/>
    <w:rsid w:val="000C13B8"/>
    <w:rsid w:val="000C4A90"/>
    <w:rsid w:val="000C571D"/>
    <w:rsid w:val="000C5E7E"/>
    <w:rsid w:val="000C5F40"/>
    <w:rsid w:val="000C6504"/>
    <w:rsid w:val="000C66EC"/>
    <w:rsid w:val="000D0420"/>
    <w:rsid w:val="000D3A36"/>
    <w:rsid w:val="000D5610"/>
    <w:rsid w:val="000D64F9"/>
    <w:rsid w:val="000D6646"/>
    <w:rsid w:val="000D7095"/>
    <w:rsid w:val="000E092B"/>
    <w:rsid w:val="000E0B74"/>
    <w:rsid w:val="000E3664"/>
    <w:rsid w:val="000E367A"/>
    <w:rsid w:val="000E39EA"/>
    <w:rsid w:val="000E4337"/>
    <w:rsid w:val="000E47C3"/>
    <w:rsid w:val="000E623B"/>
    <w:rsid w:val="000E64EA"/>
    <w:rsid w:val="000E6C09"/>
    <w:rsid w:val="000E7901"/>
    <w:rsid w:val="000F3542"/>
    <w:rsid w:val="000F4B95"/>
    <w:rsid w:val="000F6233"/>
    <w:rsid w:val="000F7598"/>
    <w:rsid w:val="000F7768"/>
    <w:rsid w:val="001011EB"/>
    <w:rsid w:val="00101AC2"/>
    <w:rsid w:val="001031D6"/>
    <w:rsid w:val="0010323E"/>
    <w:rsid w:val="00103F3C"/>
    <w:rsid w:val="0010587B"/>
    <w:rsid w:val="00105B09"/>
    <w:rsid w:val="00105D25"/>
    <w:rsid w:val="00105E24"/>
    <w:rsid w:val="001118CB"/>
    <w:rsid w:val="00112027"/>
    <w:rsid w:val="0011378C"/>
    <w:rsid w:val="00117383"/>
    <w:rsid w:val="001222C5"/>
    <w:rsid w:val="00122F11"/>
    <w:rsid w:val="001238A9"/>
    <w:rsid w:val="00126A30"/>
    <w:rsid w:val="00130E29"/>
    <w:rsid w:val="00131DC3"/>
    <w:rsid w:val="00133934"/>
    <w:rsid w:val="00135160"/>
    <w:rsid w:val="00135E4C"/>
    <w:rsid w:val="00136DF0"/>
    <w:rsid w:val="001373F5"/>
    <w:rsid w:val="00146C44"/>
    <w:rsid w:val="00150A5C"/>
    <w:rsid w:val="00152EFB"/>
    <w:rsid w:val="00153254"/>
    <w:rsid w:val="001542AD"/>
    <w:rsid w:val="00154ACF"/>
    <w:rsid w:val="001569C3"/>
    <w:rsid w:val="001574C0"/>
    <w:rsid w:val="00157BE0"/>
    <w:rsid w:val="001606CF"/>
    <w:rsid w:val="00160B33"/>
    <w:rsid w:val="00160F4C"/>
    <w:rsid w:val="0016128D"/>
    <w:rsid w:val="00164599"/>
    <w:rsid w:val="00164C05"/>
    <w:rsid w:val="001667E7"/>
    <w:rsid w:val="0016786E"/>
    <w:rsid w:val="00167AF7"/>
    <w:rsid w:val="00170060"/>
    <w:rsid w:val="0017042A"/>
    <w:rsid w:val="0017089D"/>
    <w:rsid w:val="0017205D"/>
    <w:rsid w:val="001726C6"/>
    <w:rsid w:val="00174BF1"/>
    <w:rsid w:val="001805A8"/>
    <w:rsid w:val="00181197"/>
    <w:rsid w:val="001858C8"/>
    <w:rsid w:val="00190FEC"/>
    <w:rsid w:val="0019101A"/>
    <w:rsid w:val="001935D1"/>
    <w:rsid w:val="00194287"/>
    <w:rsid w:val="00194A47"/>
    <w:rsid w:val="00195174"/>
    <w:rsid w:val="00195C8E"/>
    <w:rsid w:val="00195E07"/>
    <w:rsid w:val="001972D2"/>
    <w:rsid w:val="001978AF"/>
    <w:rsid w:val="001A16FB"/>
    <w:rsid w:val="001A17F1"/>
    <w:rsid w:val="001A2692"/>
    <w:rsid w:val="001A39BC"/>
    <w:rsid w:val="001A3ACC"/>
    <w:rsid w:val="001A3BC8"/>
    <w:rsid w:val="001A53CB"/>
    <w:rsid w:val="001A7DF6"/>
    <w:rsid w:val="001B31C7"/>
    <w:rsid w:val="001B3EC3"/>
    <w:rsid w:val="001B49A5"/>
    <w:rsid w:val="001B6061"/>
    <w:rsid w:val="001B6456"/>
    <w:rsid w:val="001B73A3"/>
    <w:rsid w:val="001B7D5E"/>
    <w:rsid w:val="001C1A1B"/>
    <w:rsid w:val="001C1BC5"/>
    <w:rsid w:val="001C2AF7"/>
    <w:rsid w:val="001C358D"/>
    <w:rsid w:val="001C40A0"/>
    <w:rsid w:val="001C423B"/>
    <w:rsid w:val="001C4258"/>
    <w:rsid w:val="001C471B"/>
    <w:rsid w:val="001C4EF0"/>
    <w:rsid w:val="001C5FA3"/>
    <w:rsid w:val="001D0B7A"/>
    <w:rsid w:val="001D0E30"/>
    <w:rsid w:val="001D2832"/>
    <w:rsid w:val="001D391E"/>
    <w:rsid w:val="001D3C91"/>
    <w:rsid w:val="001D3FDA"/>
    <w:rsid w:val="001D4365"/>
    <w:rsid w:val="001D503A"/>
    <w:rsid w:val="001D70C4"/>
    <w:rsid w:val="001D753B"/>
    <w:rsid w:val="001E3603"/>
    <w:rsid w:val="001E4A4F"/>
    <w:rsid w:val="001E7CEB"/>
    <w:rsid w:val="001F0CE3"/>
    <w:rsid w:val="001F1B27"/>
    <w:rsid w:val="001F1DAA"/>
    <w:rsid w:val="001F3106"/>
    <w:rsid w:val="001F41AD"/>
    <w:rsid w:val="001F4838"/>
    <w:rsid w:val="001F4868"/>
    <w:rsid w:val="001F4EED"/>
    <w:rsid w:val="001F5FA7"/>
    <w:rsid w:val="001F610B"/>
    <w:rsid w:val="001F625B"/>
    <w:rsid w:val="001F76CB"/>
    <w:rsid w:val="0020005E"/>
    <w:rsid w:val="00200431"/>
    <w:rsid w:val="00200969"/>
    <w:rsid w:val="0020329B"/>
    <w:rsid w:val="002036B4"/>
    <w:rsid w:val="00204DCE"/>
    <w:rsid w:val="00211C6A"/>
    <w:rsid w:val="0021314B"/>
    <w:rsid w:val="002150A3"/>
    <w:rsid w:val="002153DB"/>
    <w:rsid w:val="00215CB3"/>
    <w:rsid w:val="00216ECC"/>
    <w:rsid w:val="002176E0"/>
    <w:rsid w:val="00220BF0"/>
    <w:rsid w:val="00221EC0"/>
    <w:rsid w:val="002228D3"/>
    <w:rsid w:val="00222D07"/>
    <w:rsid w:val="002231A8"/>
    <w:rsid w:val="002243C0"/>
    <w:rsid w:val="00225F41"/>
    <w:rsid w:val="00231049"/>
    <w:rsid w:val="002314D2"/>
    <w:rsid w:val="00231D9E"/>
    <w:rsid w:val="0023305C"/>
    <w:rsid w:val="00233B4B"/>
    <w:rsid w:val="0023433E"/>
    <w:rsid w:val="002356CD"/>
    <w:rsid w:val="0023587B"/>
    <w:rsid w:val="00235CEF"/>
    <w:rsid w:val="00241881"/>
    <w:rsid w:val="0024294C"/>
    <w:rsid w:val="002455B5"/>
    <w:rsid w:val="00245D86"/>
    <w:rsid w:val="002461BA"/>
    <w:rsid w:val="002464BE"/>
    <w:rsid w:val="00246EF0"/>
    <w:rsid w:val="0025295A"/>
    <w:rsid w:val="00252EA8"/>
    <w:rsid w:val="002543D8"/>
    <w:rsid w:val="0025652F"/>
    <w:rsid w:val="002567AD"/>
    <w:rsid w:val="00257DB7"/>
    <w:rsid w:val="0026215C"/>
    <w:rsid w:val="002628B1"/>
    <w:rsid w:val="00262FCD"/>
    <w:rsid w:val="00263B6C"/>
    <w:rsid w:val="00265787"/>
    <w:rsid w:val="0027070B"/>
    <w:rsid w:val="0027071D"/>
    <w:rsid w:val="00270B6A"/>
    <w:rsid w:val="00271A0B"/>
    <w:rsid w:val="002727C6"/>
    <w:rsid w:val="00272939"/>
    <w:rsid w:val="00272AA4"/>
    <w:rsid w:val="00272B35"/>
    <w:rsid w:val="0027590B"/>
    <w:rsid w:val="002767BF"/>
    <w:rsid w:val="00277651"/>
    <w:rsid w:val="00277865"/>
    <w:rsid w:val="002779CB"/>
    <w:rsid w:val="00277DF4"/>
    <w:rsid w:val="00277F33"/>
    <w:rsid w:val="00282542"/>
    <w:rsid w:val="00283100"/>
    <w:rsid w:val="002832BF"/>
    <w:rsid w:val="002853E7"/>
    <w:rsid w:val="00285969"/>
    <w:rsid w:val="00285BA3"/>
    <w:rsid w:val="002877FF"/>
    <w:rsid w:val="002879C6"/>
    <w:rsid w:val="00290DE8"/>
    <w:rsid w:val="002917FC"/>
    <w:rsid w:val="00292EAC"/>
    <w:rsid w:val="00293C94"/>
    <w:rsid w:val="002946D9"/>
    <w:rsid w:val="0029483E"/>
    <w:rsid w:val="00295B30"/>
    <w:rsid w:val="002970D0"/>
    <w:rsid w:val="002970D6"/>
    <w:rsid w:val="00297566"/>
    <w:rsid w:val="002A43C2"/>
    <w:rsid w:val="002A6E34"/>
    <w:rsid w:val="002A74EF"/>
    <w:rsid w:val="002A77D1"/>
    <w:rsid w:val="002A7A31"/>
    <w:rsid w:val="002B1151"/>
    <w:rsid w:val="002B19CE"/>
    <w:rsid w:val="002B1DF9"/>
    <w:rsid w:val="002B3082"/>
    <w:rsid w:val="002B3829"/>
    <w:rsid w:val="002B55F7"/>
    <w:rsid w:val="002B6426"/>
    <w:rsid w:val="002B7B01"/>
    <w:rsid w:val="002C15C5"/>
    <w:rsid w:val="002C1970"/>
    <w:rsid w:val="002C1E96"/>
    <w:rsid w:val="002C22B6"/>
    <w:rsid w:val="002C22EF"/>
    <w:rsid w:val="002C2DC9"/>
    <w:rsid w:val="002C563D"/>
    <w:rsid w:val="002C7529"/>
    <w:rsid w:val="002C77B3"/>
    <w:rsid w:val="002D0011"/>
    <w:rsid w:val="002D0423"/>
    <w:rsid w:val="002D1B2B"/>
    <w:rsid w:val="002D1F1F"/>
    <w:rsid w:val="002D47D1"/>
    <w:rsid w:val="002D6794"/>
    <w:rsid w:val="002D721E"/>
    <w:rsid w:val="002D7736"/>
    <w:rsid w:val="002E0F15"/>
    <w:rsid w:val="002E1FB6"/>
    <w:rsid w:val="002E2140"/>
    <w:rsid w:val="002E23E0"/>
    <w:rsid w:val="002E3197"/>
    <w:rsid w:val="002E31AD"/>
    <w:rsid w:val="002E454C"/>
    <w:rsid w:val="002E4E6D"/>
    <w:rsid w:val="002E4FE6"/>
    <w:rsid w:val="002E5EE3"/>
    <w:rsid w:val="002E6B1C"/>
    <w:rsid w:val="002E7CBC"/>
    <w:rsid w:val="002F046A"/>
    <w:rsid w:val="002F083D"/>
    <w:rsid w:val="002F2B55"/>
    <w:rsid w:val="002F2FE4"/>
    <w:rsid w:val="002F345F"/>
    <w:rsid w:val="002F40FE"/>
    <w:rsid w:val="002F531F"/>
    <w:rsid w:val="002F5F4A"/>
    <w:rsid w:val="002F617F"/>
    <w:rsid w:val="00300109"/>
    <w:rsid w:val="0030137F"/>
    <w:rsid w:val="00301755"/>
    <w:rsid w:val="0030265C"/>
    <w:rsid w:val="003037C5"/>
    <w:rsid w:val="00305125"/>
    <w:rsid w:val="00305225"/>
    <w:rsid w:val="0030665E"/>
    <w:rsid w:val="00306894"/>
    <w:rsid w:val="00310320"/>
    <w:rsid w:val="00311C1D"/>
    <w:rsid w:val="003122F4"/>
    <w:rsid w:val="00313750"/>
    <w:rsid w:val="00313BEC"/>
    <w:rsid w:val="00313DEE"/>
    <w:rsid w:val="00314FFC"/>
    <w:rsid w:val="003150B6"/>
    <w:rsid w:val="003156B4"/>
    <w:rsid w:val="00315A5F"/>
    <w:rsid w:val="0032065A"/>
    <w:rsid w:val="00320872"/>
    <w:rsid w:val="003216FD"/>
    <w:rsid w:val="00323874"/>
    <w:rsid w:val="003250BF"/>
    <w:rsid w:val="003268D5"/>
    <w:rsid w:val="003314E8"/>
    <w:rsid w:val="00331BD3"/>
    <w:rsid w:val="00332689"/>
    <w:rsid w:val="0033594F"/>
    <w:rsid w:val="003369D0"/>
    <w:rsid w:val="0033755F"/>
    <w:rsid w:val="003416D8"/>
    <w:rsid w:val="00342995"/>
    <w:rsid w:val="003436D4"/>
    <w:rsid w:val="00343978"/>
    <w:rsid w:val="00344093"/>
    <w:rsid w:val="003444E7"/>
    <w:rsid w:val="003448F6"/>
    <w:rsid w:val="00344A00"/>
    <w:rsid w:val="0034724B"/>
    <w:rsid w:val="00350759"/>
    <w:rsid w:val="0035107A"/>
    <w:rsid w:val="00351748"/>
    <w:rsid w:val="00352B5C"/>
    <w:rsid w:val="00353702"/>
    <w:rsid w:val="003545AF"/>
    <w:rsid w:val="00354D27"/>
    <w:rsid w:val="0035583C"/>
    <w:rsid w:val="00355847"/>
    <w:rsid w:val="003558D0"/>
    <w:rsid w:val="00356267"/>
    <w:rsid w:val="003563F7"/>
    <w:rsid w:val="00356675"/>
    <w:rsid w:val="00356752"/>
    <w:rsid w:val="0035738A"/>
    <w:rsid w:val="00361CA5"/>
    <w:rsid w:val="00363706"/>
    <w:rsid w:val="00365246"/>
    <w:rsid w:val="00366663"/>
    <w:rsid w:val="00370494"/>
    <w:rsid w:val="00370C5F"/>
    <w:rsid w:val="00370EB1"/>
    <w:rsid w:val="00371493"/>
    <w:rsid w:val="003714E0"/>
    <w:rsid w:val="00371734"/>
    <w:rsid w:val="0037290D"/>
    <w:rsid w:val="00373343"/>
    <w:rsid w:val="00373DAF"/>
    <w:rsid w:val="00375655"/>
    <w:rsid w:val="00375E16"/>
    <w:rsid w:val="00377364"/>
    <w:rsid w:val="003806D5"/>
    <w:rsid w:val="00380D43"/>
    <w:rsid w:val="003812A1"/>
    <w:rsid w:val="00383459"/>
    <w:rsid w:val="003858A6"/>
    <w:rsid w:val="00387435"/>
    <w:rsid w:val="00387CBC"/>
    <w:rsid w:val="00390B69"/>
    <w:rsid w:val="003913DA"/>
    <w:rsid w:val="00391AF8"/>
    <w:rsid w:val="00391CAB"/>
    <w:rsid w:val="00392B15"/>
    <w:rsid w:val="00392BCE"/>
    <w:rsid w:val="00392DCC"/>
    <w:rsid w:val="00394867"/>
    <w:rsid w:val="00394B31"/>
    <w:rsid w:val="0039583F"/>
    <w:rsid w:val="00395E03"/>
    <w:rsid w:val="00397660"/>
    <w:rsid w:val="00397BB5"/>
    <w:rsid w:val="00397BDC"/>
    <w:rsid w:val="003A0FFB"/>
    <w:rsid w:val="003A1588"/>
    <w:rsid w:val="003A2119"/>
    <w:rsid w:val="003A2324"/>
    <w:rsid w:val="003A4B41"/>
    <w:rsid w:val="003A4DBE"/>
    <w:rsid w:val="003A5B36"/>
    <w:rsid w:val="003A5CDE"/>
    <w:rsid w:val="003A7B5B"/>
    <w:rsid w:val="003B1021"/>
    <w:rsid w:val="003B3989"/>
    <w:rsid w:val="003B3A4B"/>
    <w:rsid w:val="003B4E2F"/>
    <w:rsid w:val="003B6D6C"/>
    <w:rsid w:val="003C194B"/>
    <w:rsid w:val="003C1C75"/>
    <w:rsid w:val="003C2076"/>
    <w:rsid w:val="003C24B4"/>
    <w:rsid w:val="003C2935"/>
    <w:rsid w:val="003C3804"/>
    <w:rsid w:val="003C5318"/>
    <w:rsid w:val="003C5F49"/>
    <w:rsid w:val="003C61C3"/>
    <w:rsid w:val="003C62B7"/>
    <w:rsid w:val="003C730C"/>
    <w:rsid w:val="003C74F6"/>
    <w:rsid w:val="003D062C"/>
    <w:rsid w:val="003D14FE"/>
    <w:rsid w:val="003D2B71"/>
    <w:rsid w:val="003D4210"/>
    <w:rsid w:val="003D4E73"/>
    <w:rsid w:val="003D5699"/>
    <w:rsid w:val="003D70E6"/>
    <w:rsid w:val="003E1910"/>
    <w:rsid w:val="003E20D6"/>
    <w:rsid w:val="003E2968"/>
    <w:rsid w:val="003E2B9B"/>
    <w:rsid w:val="003E4D87"/>
    <w:rsid w:val="003F099E"/>
    <w:rsid w:val="003F1986"/>
    <w:rsid w:val="003F19F3"/>
    <w:rsid w:val="003F2762"/>
    <w:rsid w:val="003F31D7"/>
    <w:rsid w:val="003F3950"/>
    <w:rsid w:val="003F3A0E"/>
    <w:rsid w:val="003F3B5E"/>
    <w:rsid w:val="003F3D4B"/>
    <w:rsid w:val="003F4D17"/>
    <w:rsid w:val="003F6950"/>
    <w:rsid w:val="003F73A9"/>
    <w:rsid w:val="00400155"/>
    <w:rsid w:val="00401082"/>
    <w:rsid w:val="004010E8"/>
    <w:rsid w:val="00401E70"/>
    <w:rsid w:val="004023CD"/>
    <w:rsid w:val="004032B1"/>
    <w:rsid w:val="00403AA0"/>
    <w:rsid w:val="0040415A"/>
    <w:rsid w:val="00404462"/>
    <w:rsid w:val="00405104"/>
    <w:rsid w:val="00405D7D"/>
    <w:rsid w:val="004071D9"/>
    <w:rsid w:val="004074E4"/>
    <w:rsid w:val="0040755A"/>
    <w:rsid w:val="00410819"/>
    <w:rsid w:val="0041142C"/>
    <w:rsid w:val="00411843"/>
    <w:rsid w:val="004120C8"/>
    <w:rsid w:val="0041285E"/>
    <w:rsid w:val="00413A53"/>
    <w:rsid w:val="00413B6A"/>
    <w:rsid w:val="00416762"/>
    <w:rsid w:val="00416E55"/>
    <w:rsid w:val="00421955"/>
    <w:rsid w:val="00423F79"/>
    <w:rsid w:val="00424418"/>
    <w:rsid w:val="0042518A"/>
    <w:rsid w:val="004251A3"/>
    <w:rsid w:val="004275AF"/>
    <w:rsid w:val="004276A0"/>
    <w:rsid w:val="00427E27"/>
    <w:rsid w:val="004311DE"/>
    <w:rsid w:val="00432149"/>
    <w:rsid w:val="00433F15"/>
    <w:rsid w:val="004341F7"/>
    <w:rsid w:val="00434B6A"/>
    <w:rsid w:val="00436E69"/>
    <w:rsid w:val="00440F41"/>
    <w:rsid w:val="00441E9C"/>
    <w:rsid w:val="0044336C"/>
    <w:rsid w:val="00444A63"/>
    <w:rsid w:val="00445265"/>
    <w:rsid w:val="0044724C"/>
    <w:rsid w:val="00450D12"/>
    <w:rsid w:val="00450D7B"/>
    <w:rsid w:val="0045351A"/>
    <w:rsid w:val="004541B3"/>
    <w:rsid w:val="004551B0"/>
    <w:rsid w:val="004559CE"/>
    <w:rsid w:val="004562F2"/>
    <w:rsid w:val="004563E7"/>
    <w:rsid w:val="00456D70"/>
    <w:rsid w:val="00457391"/>
    <w:rsid w:val="00460E1A"/>
    <w:rsid w:val="00461EF4"/>
    <w:rsid w:val="00462759"/>
    <w:rsid w:val="004627D8"/>
    <w:rsid w:val="00463DF8"/>
    <w:rsid w:val="0046520E"/>
    <w:rsid w:val="00465B38"/>
    <w:rsid w:val="00465D06"/>
    <w:rsid w:val="00466921"/>
    <w:rsid w:val="00467BE3"/>
    <w:rsid w:val="00467E29"/>
    <w:rsid w:val="00470890"/>
    <w:rsid w:val="00471419"/>
    <w:rsid w:val="00473A6E"/>
    <w:rsid w:val="00475085"/>
    <w:rsid w:val="00476CF6"/>
    <w:rsid w:val="00476E21"/>
    <w:rsid w:val="004779DA"/>
    <w:rsid w:val="00477AA8"/>
    <w:rsid w:val="00477AD7"/>
    <w:rsid w:val="00477B19"/>
    <w:rsid w:val="004809BF"/>
    <w:rsid w:val="00480B6C"/>
    <w:rsid w:val="00481C7E"/>
    <w:rsid w:val="0048206D"/>
    <w:rsid w:val="004830F0"/>
    <w:rsid w:val="00483C3F"/>
    <w:rsid w:val="00485494"/>
    <w:rsid w:val="0048694E"/>
    <w:rsid w:val="0049028F"/>
    <w:rsid w:val="0049076D"/>
    <w:rsid w:val="00490AFB"/>
    <w:rsid w:val="00491F83"/>
    <w:rsid w:val="00492F99"/>
    <w:rsid w:val="00492FCB"/>
    <w:rsid w:val="004960B4"/>
    <w:rsid w:val="004A02D5"/>
    <w:rsid w:val="004A0C43"/>
    <w:rsid w:val="004A0DCB"/>
    <w:rsid w:val="004A0F11"/>
    <w:rsid w:val="004A0F92"/>
    <w:rsid w:val="004A21A9"/>
    <w:rsid w:val="004A287C"/>
    <w:rsid w:val="004A3EAA"/>
    <w:rsid w:val="004A3F67"/>
    <w:rsid w:val="004A3FA8"/>
    <w:rsid w:val="004A40A2"/>
    <w:rsid w:val="004A4DC4"/>
    <w:rsid w:val="004A6316"/>
    <w:rsid w:val="004A6605"/>
    <w:rsid w:val="004A775E"/>
    <w:rsid w:val="004A7C1E"/>
    <w:rsid w:val="004A7D97"/>
    <w:rsid w:val="004A7F83"/>
    <w:rsid w:val="004B094C"/>
    <w:rsid w:val="004B27CB"/>
    <w:rsid w:val="004B3668"/>
    <w:rsid w:val="004B392A"/>
    <w:rsid w:val="004B396F"/>
    <w:rsid w:val="004B4677"/>
    <w:rsid w:val="004B4707"/>
    <w:rsid w:val="004B48EC"/>
    <w:rsid w:val="004B4A21"/>
    <w:rsid w:val="004B5133"/>
    <w:rsid w:val="004B555D"/>
    <w:rsid w:val="004B592C"/>
    <w:rsid w:val="004B648D"/>
    <w:rsid w:val="004B7948"/>
    <w:rsid w:val="004C1210"/>
    <w:rsid w:val="004C1A81"/>
    <w:rsid w:val="004C1A88"/>
    <w:rsid w:val="004C2902"/>
    <w:rsid w:val="004C3E90"/>
    <w:rsid w:val="004C41B6"/>
    <w:rsid w:val="004C4722"/>
    <w:rsid w:val="004C5B55"/>
    <w:rsid w:val="004C7A36"/>
    <w:rsid w:val="004D0F0C"/>
    <w:rsid w:val="004D1583"/>
    <w:rsid w:val="004D1EAD"/>
    <w:rsid w:val="004D6E37"/>
    <w:rsid w:val="004D6FFC"/>
    <w:rsid w:val="004D7928"/>
    <w:rsid w:val="004E00EA"/>
    <w:rsid w:val="004E0217"/>
    <w:rsid w:val="004E09F4"/>
    <w:rsid w:val="004E0D19"/>
    <w:rsid w:val="004E3113"/>
    <w:rsid w:val="004E3141"/>
    <w:rsid w:val="004E6185"/>
    <w:rsid w:val="004E66A0"/>
    <w:rsid w:val="004E6B14"/>
    <w:rsid w:val="004F00F7"/>
    <w:rsid w:val="004F233E"/>
    <w:rsid w:val="004F250C"/>
    <w:rsid w:val="004F271D"/>
    <w:rsid w:val="004F3509"/>
    <w:rsid w:val="004F4B92"/>
    <w:rsid w:val="004F6CFE"/>
    <w:rsid w:val="004F79C8"/>
    <w:rsid w:val="004F7BE0"/>
    <w:rsid w:val="00500E3F"/>
    <w:rsid w:val="005010A5"/>
    <w:rsid w:val="00501363"/>
    <w:rsid w:val="00501756"/>
    <w:rsid w:val="005017A8"/>
    <w:rsid w:val="00501B6C"/>
    <w:rsid w:val="00502A9D"/>
    <w:rsid w:val="005043B5"/>
    <w:rsid w:val="00514806"/>
    <w:rsid w:val="00514AA0"/>
    <w:rsid w:val="00515D05"/>
    <w:rsid w:val="005166CC"/>
    <w:rsid w:val="00516785"/>
    <w:rsid w:val="00517091"/>
    <w:rsid w:val="005174D0"/>
    <w:rsid w:val="00517CE0"/>
    <w:rsid w:val="00520802"/>
    <w:rsid w:val="00520D34"/>
    <w:rsid w:val="00522539"/>
    <w:rsid w:val="0052419D"/>
    <w:rsid w:val="005249A4"/>
    <w:rsid w:val="00525433"/>
    <w:rsid w:val="005301F8"/>
    <w:rsid w:val="00530344"/>
    <w:rsid w:val="005312FC"/>
    <w:rsid w:val="005329CC"/>
    <w:rsid w:val="00532C6D"/>
    <w:rsid w:val="00532C94"/>
    <w:rsid w:val="0053569E"/>
    <w:rsid w:val="0053603D"/>
    <w:rsid w:val="0053742A"/>
    <w:rsid w:val="00537C85"/>
    <w:rsid w:val="005407CC"/>
    <w:rsid w:val="00540E5B"/>
    <w:rsid w:val="00541D29"/>
    <w:rsid w:val="00541DC4"/>
    <w:rsid w:val="0054342A"/>
    <w:rsid w:val="00543F23"/>
    <w:rsid w:val="005447B3"/>
    <w:rsid w:val="00544822"/>
    <w:rsid w:val="00545714"/>
    <w:rsid w:val="005458FF"/>
    <w:rsid w:val="00546479"/>
    <w:rsid w:val="00546AF4"/>
    <w:rsid w:val="00546D17"/>
    <w:rsid w:val="0054734A"/>
    <w:rsid w:val="00551602"/>
    <w:rsid w:val="00552670"/>
    <w:rsid w:val="0055335C"/>
    <w:rsid w:val="00554876"/>
    <w:rsid w:val="005551C7"/>
    <w:rsid w:val="0055553A"/>
    <w:rsid w:val="005560D9"/>
    <w:rsid w:val="00556DFF"/>
    <w:rsid w:val="00557012"/>
    <w:rsid w:val="00557DA4"/>
    <w:rsid w:val="005604AE"/>
    <w:rsid w:val="00562F17"/>
    <w:rsid w:val="005633D3"/>
    <w:rsid w:val="0056453A"/>
    <w:rsid w:val="0056582C"/>
    <w:rsid w:val="00565B24"/>
    <w:rsid w:val="00566CF5"/>
    <w:rsid w:val="00567381"/>
    <w:rsid w:val="005700D9"/>
    <w:rsid w:val="0057083E"/>
    <w:rsid w:val="00570FD8"/>
    <w:rsid w:val="00571C02"/>
    <w:rsid w:val="00571EC6"/>
    <w:rsid w:val="005726A8"/>
    <w:rsid w:val="00572FDB"/>
    <w:rsid w:val="00573D82"/>
    <w:rsid w:val="005762E0"/>
    <w:rsid w:val="005764DB"/>
    <w:rsid w:val="005776B2"/>
    <w:rsid w:val="00580E60"/>
    <w:rsid w:val="0058389B"/>
    <w:rsid w:val="00586605"/>
    <w:rsid w:val="005868DE"/>
    <w:rsid w:val="005870C4"/>
    <w:rsid w:val="00587729"/>
    <w:rsid w:val="005877AC"/>
    <w:rsid w:val="0059095F"/>
    <w:rsid w:val="00591073"/>
    <w:rsid w:val="00592365"/>
    <w:rsid w:val="00592851"/>
    <w:rsid w:val="00592A4F"/>
    <w:rsid w:val="00593259"/>
    <w:rsid w:val="00594569"/>
    <w:rsid w:val="00594722"/>
    <w:rsid w:val="0059539E"/>
    <w:rsid w:val="00595C5B"/>
    <w:rsid w:val="00596239"/>
    <w:rsid w:val="005963D6"/>
    <w:rsid w:val="005966B7"/>
    <w:rsid w:val="00597DCB"/>
    <w:rsid w:val="005A0BC4"/>
    <w:rsid w:val="005A1D64"/>
    <w:rsid w:val="005A2928"/>
    <w:rsid w:val="005A2C87"/>
    <w:rsid w:val="005A3457"/>
    <w:rsid w:val="005A3852"/>
    <w:rsid w:val="005A418D"/>
    <w:rsid w:val="005A4B9F"/>
    <w:rsid w:val="005A62C1"/>
    <w:rsid w:val="005A74C3"/>
    <w:rsid w:val="005B21C5"/>
    <w:rsid w:val="005B5E2A"/>
    <w:rsid w:val="005B6A3C"/>
    <w:rsid w:val="005C0157"/>
    <w:rsid w:val="005C0198"/>
    <w:rsid w:val="005C02A4"/>
    <w:rsid w:val="005C04FA"/>
    <w:rsid w:val="005C1609"/>
    <w:rsid w:val="005C16E8"/>
    <w:rsid w:val="005C194A"/>
    <w:rsid w:val="005C20D2"/>
    <w:rsid w:val="005C2767"/>
    <w:rsid w:val="005C2A13"/>
    <w:rsid w:val="005C32FE"/>
    <w:rsid w:val="005C503A"/>
    <w:rsid w:val="005C6B3B"/>
    <w:rsid w:val="005C6C48"/>
    <w:rsid w:val="005C70A5"/>
    <w:rsid w:val="005C7F56"/>
    <w:rsid w:val="005D024A"/>
    <w:rsid w:val="005D2A30"/>
    <w:rsid w:val="005D33F8"/>
    <w:rsid w:val="005D4521"/>
    <w:rsid w:val="005D4FD4"/>
    <w:rsid w:val="005D5187"/>
    <w:rsid w:val="005D6176"/>
    <w:rsid w:val="005D64DD"/>
    <w:rsid w:val="005D6D64"/>
    <w:rsid w:val="005E05E3"/>
    <w:rsid w:val="005E0EBA"/>
    <w:rsid w:val="005E1E7B"/>
    <w:rsid w:val="005E44A8"/>
    <w:rsid w:val="005E466E"/>
    <w:rsid w:val="005E6073"/>
    <w:rsid w:val="005F13A3"/>
    <w:rsid w:val="005F5456"/>
    <w:rsid w:val="005F547A"/>
    <w:rsid w:val="005F75D1"/>
    <w:rsid w:val="005F76EB"/>
    <w:rsid w:val="005F7DD9"/>
    <w:rsid w:val="006002FA"/>
    <w:rsid w:val="00600660"/>
    <w:rsid w:val="00601650"/>
    <w:rsid w:val="006027F7"/>
    <w:rsid w:val="00603E91"/>
    <w:rsid w:val="00604EEF"/>
    <w:rsid w:val="00605AFD"/>
    <w:rsid w:val="00606442"/>
    <w:rsid w:val="0060651F"/>
    <w:rsid w:val="006065A4"/>
    <w:rsid w:val="00606B84"/>
    <w:rsid w:val="00611B61"/>
    <w:rsid w:val="006123D4"/>
    <w:rsid w:val="0061440C"/>
    <w:rsid w:val="0061445B"/>
    <w:rsid w:val="006177D2"/>
    <w:rsid w:val="00617F29"/>
    <w:rsid w:val="00620470"/>
    <w:rsid w:val="00621EAA"/>
    <w:rsid w:val="006225B1"/>
    <w:rsid w:val="00622A59"/>
    <w:rsid w:val="00624A00"/>
    <w:rsid w:val="00624C4B"/>
    <w:rsid w:val="006257AD"/>
    <w:rsid w:val="00625CE7"/>
    <w:rsid w:val="00626CD1"/>
    <w:rsid w:val="00627986"/>
    <w:rsid w:val="00632EA6"/>
    <w:rsid w:val="00632EFD"/>
    <w:rsid w:val="0063528A"/>
    <w:rsid w:val="00636955"/>
    <w:rsid w:val="00636B95"/>
    <w:rsid w:val="0064134F"/>
    <w:rsid w:val="00642F41"/>
    <w:rsid w:val="006430D0"/>
    <w:rsid w:val="006430F2"/>
    <w:rsid w:val="00643E6D"/>
    <w:rsid w:val="006448B1"/>
    <w:rsid w:val="00644F34"/>
    <w:rsid w:val="00644FBD"/>
    <w:rsid w:val="006459BA"/>
    <w:rsid w:val="006461C8"/>
    <w:rsid w:val="006469CC"/>
    <w:rsid w:val="00646F4B"/>
    <w:rsid w:val="00647A09"/>
    <w:rsid w:val="00650073"/>
    <w:rsid w:val="00650B9F"/>
    <w:rsid w:val="00650FFE"/>
    <w:rsid w:val="006512A6"/>
    <w:rsid w:val="00651AB8"/>
    <w:rsid w:val="00652685"/>
    <w:rsid w:val="00652EEA"/>
    <w:rsid w:val="00653E76"/>
    <w:rsid w:val="0065411E"/>
    <w:rsid w:val="00654F9D"/>
    <w:rsid w:val="00656C45"/>
    <w:rsid w:val="00661918"/>
    <w:rsid w:val="006646B5"/>
    <w:rsid w:val="00664BE2"/>
    <w:rsid w:val="0066678A"/>
    <w:rsid w:val="0066689C"/>
    <w:rsid w:val="00666E71"/>
    <w:rsid w:val="0066727E"/>
    <w:rsid w:val="00672B5D"/>
    <w:rsid w:val="00672CD7"/>
    <w:rsid w:val="0067611C"/>
    <w:rsid w:val="0067622C"/>
    <w:rsid w:val="006772E1"/>
    <w:rsid w:val="0068073F"/>
    <w:rsid w:val="00682249"/>
    <w:rsid w:val="00685CF7"/>
    <w:rsid w:val="00686165"/>
    <w:rsid w:val="00686699"/>
    <w:rsid w:val="006866FF"/>
    <w:rsid w:val="00687EDE"/>
    <w:rsid w:val="006916B5"/>
    <w:rsid w:val="00691CB5"/>
    <w:rsid w:val="00691FBD"/>
    <w:rsid w:val="006923DF"/>
    <w:rsid w:val="00693341"/>
    <w:rsid w:val="00694228"/>
    <w:rsid w:val="00694E3F"/>
    <w:rsid w:val="006969B9"/>
    <w:rsid w:val="006A142B"/>
    <w:rsid w:val="006A213B"/>
    <w:rsid w:val="006A273D"/>
    <w:rsid w:val="006A37F5"/>
    <w:rsid w:val="006A3A5C"/>
    <w:rsid w:val="006A4D30"/>
    <w:rsid w:val="006A56CE"/>
    <w:rsid w:val="006A685A"/>
    <w:rsid w:val="006A7A4B"/>
    <w:rsid w:val="006A7C2C"/>
    <w:rsid w:val="006A7F18"/>
    <w:rsid w:val="006B1437"/>
    <w:rsid w:val="006B38FF"/>
    <w:rsid w:val="006B3FC1"/>
    <w:rsid w:val="006B4E48"/>
    <w:rsid w:val="006B6887"/>
    <w:rsid w:val="006B6CEF"/>
    <w:rsid w:val="006C0446"/>
    <w:rsid w:val="006C099B"/>
    <w:rsid w:val="006C13D1"/>
    <w:rsid w:val="006C1892"/>
    <w:rsid w:val="006C3167"/>
    <w:rsid w:val="006C33F1"/>
    <w:rsid w:val="006C3501"/>
    <w:rsid w:val="006C413B"/>
    <w:rsid w:val="006C418C"/>
    <w:rsid w:val="006C581C"/>
    <w:rsid w:val="006C5B73"/>
    <w:rsid w:val="006C645D"/>
    <w:rsid w:val="006C6AA9"/>
    <w:rsid w:val="006C72BA"/>
    <w:rsid w:val="006D2D17"/>
    <w:rsid w:val="006D47A7"/>
    <w:rsid w:val="006D5A62"/>
    <w:rsid w:val="006D5AB6"/>
    <w:rsid w:val="006D5C6A"/>
    <w:rsid w:val="006D763F"/>
    <w:rsid w:val="006D7CE6"/>
    <w:rsid w:val="006E14C3"/>
    <w:rsid w:val="006E1A81"/>
    <w:rsid w:val="006E2D2A"/>
    <w:rsid w:val="006E314C"/>
    <w:rsid w:val="006E3CC3"/>
    <w:rsid w:val="006E56A9"/>
    <w:rsid w:val="006E6057"/>
    <w:rsid w:val="006F2558"/>
    <w:rsid w:val="006F25C1"/>
    <w:rsid w:val="006F2760"/>
    <w:rsid w:val="006F2E06"/>
    <w:rsid w:val="006F3B0F"/>
    <w:rsid w:val="006F54D0"/>
    <w:rsid w:val="00700599"/>
    <w:rsid w:val="007015E6"/>
    <w:rsid w:val="00701D21"/>
    <w:rsid w:val="00702B03"/>
    <w:rsid w:val="00702BC2"/>
    <w:rsid w:val="00702E71"/>
    <w:rsid w:val="0070404D"/>
    <w:rsid w:val="007043FC"/>
    <w:rsid w:val="007055CB"/>
    <w:rsid w:val="0070620E"/>
    <w:rsid w:val="00706E8E"/>
    <w:rsid w:val="00707F8E"/>
    <w:rsid w:val="007103CE"/>
    <w:rsid w:val="00710668"/>
    <w:rsid w:val="00712D17"/>
    <w:rsid w:val="007153A7"/>
    <w:rsid w:val="007175C8"/>
    <w:rsid w:val="0071786E"/>
    <w:rsid w:val="00717DB0"/>
    <w:rsid w:val="007203E4"/>
    <w:rsid w:val="007205CC"/>
    <w:rsid w:val="00720821"/>
    <w:rsid w:val="007209A0"/>
    <w:rsid w:val="007229FC"/>
    <w:rsid w:val="00722B53"/>
    <w:rsid w:val="00723544"/>
    <w:rsid w:val="00727C70"/>
    <w:rsid w:val="00732B17"/>
    <w:rsid w:val="0073560E"/>
    <w:rsid w:val="007371CE"/>
    <w:rsid w:val="007372D2"/>
    <w:rsid w:val="00740F7F"/>
    <w:rsid w:val="00742366"/>
    <w:rsid w:val="00743698"/>
    <w:rsid w:val="00744484"/>
    <w:rsid w:val="00744BDA"/>
    <w:rsid w:val="00746C60"/>
    <w:rsid w:val="00746EDD"/>
    <w:rsid w:val="007479BE"/>
    <w:rsid w:val="007503D3"/>
    <w:rsid w:val="007509DD"/>
    <w:rsid w:val="00751AA2"/>
    <w:rsid w:val="00752057"/>
    <w:rsid w:val="007533BB"/>
    <w:rsid w:val="00754225"/>
    <w:rsid w:val="00755EBF"/>
    <w:rsid w:val="00756A1B"/>
    <w:rsid w:val="00756E75"/>
    <w:rsid w:val="0076088D"/>
    <w:rsid w:val="00760F3A"/>
    <w:rsid w:val="00761504"/>
    <w:rsid w:val="00761D88"/>
    <w:rsid w:val="00763474"/>
    <w:rsid w:val="0076386E"/>
    <w:rsid w:val="00765EBE"/>
    <w:rsid w:val="00766184"/>
    <w:rsid w:val="007667AA"/>
    <w:rsid w:val="00772CB5"/>
    <w:rsid w:val="007746F5"/>
    <w:rsid w:val="00775595"/>
    <w:rsid w:val="00780A60"/>
    <w:rsid w:val="00780B60"/>
    <w:rsid w:val="0078257B"/>
    <w:rsid w:val="007838E7"/>
    <w:rsid w:val="00783D75"/>
    <w:rsid w:val="00783FB7"/>
    <w:rsid w:val="00784C0A"/>
    <w:rsid w:val="007919D3"/>
    <w:rsid w:val="00794150"/>
    <w:rsid w:val="00794899"/>
    <w:rsid w:val="00794B40"/>
    <w:rsid w:val="00794FB3"/>
    <w:rsid w:val="00795A0F"/>
    <w:rsid w:val="007962D0"/>
    <w:rsid w:val="00796A16"/>
    <w:rsid w:val="00796E26"/>
    <w:rsid w:val="00797B0E"/>
    <w:rsid w:val="007A1079"/>
    <w:rsid w:val="007A1D7A"/>
    <w:rsid w:val="007A22FE"/>
    <w:rsid w:val="007A29CB"/>
    <w:rsid w:val="007A52E3"/>
    <w:rsid w:val="007A7722"/>
    <w:rsid w:val="007B07C6"/>
    <w:rsid w:val="007B11BC"/>
    <w:rsid w:val="007B17D2"/>
    <w:rsid w:val="007B2323"/>
    <w:rsid w:val="007B2677"/>
    <w:rsid w:val="007B3CFD"/>
    <w:rsid w:val="007B3F27"/>
    <w:rsid w:val="007B5849"/>
    <w:rsid w:val="007B76AB"/>
    <w:rsid w:val="007B7775"/>
    <w:rsid w:val="007B77E3"/>
    <w:rsid w:val="007C2146"/>
    <w:rsid w:val="007C2294"/>
    <w:rsid w:val="007C257A"/>
    <w:rsid w:val="007C2607"/>
    <w:rsid w:val="007C323E"/>
    <w:rsid w:val="007C36FD"/>
    <w:rsid w:val="007C589A"/>
    <w:rsid w:val="007C59FD"/>
    <w:rsid w:val="007C7B37"/>
    <w:rsid w:val="007C7DE8"/>
    <w:rsid w:val="007D0366"/>
    <w:rsid w:val="007D065A"/>
    <w:rsid w:val="007D25C5"/>
    <w:rsid w:val="007D275C"/>
    <w:rsid w:val="007D30B8"/>
    <w:rsid w:val="007D592B"/>
    <w:rsid w:val="007D5AA6"/>
    <w:rsid w:val="007D6F23"/>
    <w:rsid w:val="007D7A91"/>
    <w:rsid w:val="007E0449"/>
    <w:rsid w:val="007E19C3"/>
    <w:rsid w:val="007E1A9A"/>
    <w:rsid w:val="007E2ACB"/>
    <w:rsid w:val="007E2CF3"/>
    <w:rsid w:val="007E37A3"/>
    <w:rsid w:val="007E4619"/>
    <w:rsid w:val="007E5AF7"/>
    <w:rsid w:val="007E6456"/>
    <w:rsid w:val="007F370B"/>
    <w:rsid w:val="007F4D90"/>
    <w:rsid w:val="007F76E8"/>
    <w:rsid w:val="00803A3F"/>
    <w:rsid w:val="00804125"/>
    <w:rsid w:val="00807974"/>
    <w:rsid w:val="0081019A"/>
    <w:rsid w:val="008102C7"/>
    <w:rsid w:val="00810569"/>
    <w:rsid w:val="00811943"/>
    <w:rsid w:val="0081532C"/>
    <w:rsid w:val="00815C81"/>
    <w:rsid w:val="00816895"/>
    <w:rsid w:val="00817DFE"/>
    <w:rsid w:val="00817EE4"/>
    <w:rsid w:val="008220E9"/>
    <w:rsid w:val="00822949"/>
    <w:rsid w:val="00823735"/>
    <w:rsid w:val="00825F60"/>
    <w:rsid w:val="00826E86"/>
    <w:rsid w:val="0082745D"/>
    <w:rsid w:val="008311B8"/>
    <w:rsid w:val="00831361"/>
    <w:rsid w:val="00831794"/>
    <w:rsid w:val="00831F26"/>
    <w:rsid w:val="008322ED"/>
    <w:rsid w:val="00832F91"/>
    <w:rsid w:val="0083359D"/>
    <w:rsid w:val="00834182"/>
    <w:rsid w:val="00834243"/>
    <w:rsid w:val="0083723C"/>
    <w:rsid w:val="008374C4"/>
    <w:rsid w:val="008408C1"/>
    <w:rsid w:val="00841BD8"/>
    <w:rsid w:val="00844157"/>
    <w:rsid w:val="0084428F"/>
    <w:rsid w:val="00846510"/>
    <w:rsid w:val="00846F38"/>
    <w:rsid w:val="00847BD6"/>
    <w:rsid w:val="0085130D"/>
    <w:rsid w:val="00851A12"/>
    <w:rsid w:val="00852003"/>
    <w:rsid w:val="00852845"/>
    <w:rsid w:val="008529DB"/>
    <w:rsid w:val="00852DD6"/>
    <w:rsid w:val="00854580"/>
    <w:rsid w:val="00856522"/>
    <w:rsid w:val="00856F45"/>
    <w:rsid w:val="00857969"/>
    <w:rsid w:val="00860679"/>
    <w:rsid w:val="00861963"/>
    <w:rsid w:val="00862175"/>
    <w:rsid w:val="00862517"/>
    <w:rsid w:val="00862E96"/>
    <w:rsid w:val="00862F2B"/>
    <w:rsid w:val="0086344E"/>
    <w:rsid w:val="0086367E"/>
    <w:rsid w:val="00866EBA"/>
    <w:rsid w:val="00867792"/>
    <w:rsid w:val="00867D29"/>
    <w:rsid w:val="00870EFB"/>
    <w:rsid w:val="0087197F"/>
    <w:rsid w:val="008756B9"/>
    <w:rsid w:val="00875A17"/>
    <w:rsid w:val="00875A99"/>
    <w:rsid w:val="00875AD4"/>
    <w:rsid w:val="00876037"/>
    <w:rsid w:val="008764D1"/>
    <w:rsid w:val="00881C69"/>
    <w:rsid w:val="00882BFF"/>
    <w:rsid w:val="00882CC4"/>
    <w:rsid w:val="00882D79"/>
    <w:rsid w:val="008844AC"/>
    <w:rsid w:val="0088487E"/>
    <w:rsid w:val="00884C2B"/>
    <w:rsid w:val="008864B4"/>
    <w:rsid w:val="008905D9"/>
    <w:rsid w:val="00890931"/>
    <w:rsid w:val="00890FCF"/>
    <w:rsid w:val="00891061"/>
    <w:rsid w:val="008915FD"/>
    <w:rsid w:val="00896D1C"/>
    <w:rsid w:val="00896E92"/>
    <w:rsid w:val="00897218"/>
    <w:rsid w:val="00897F46"/>
    <w:rsid w:val="008A14EA"/>
    <w:rsid w:val="008A1869"/>
    <w:rsid w:val="008A1F2A"/>
    <w:rsid w:val="008A2D8B"/>
    <w:rsid w:val="008A41DF"/>
    <w:rsid w:val="008A4252"/>
    <w:rsid w:val="008A4638"/>
    <w:rsid w:val="008A6E76"/>
    <w:rsid w:val="008A7C97"/>
    <w:rsid w:val="008B62FD"/>
    <w:rsid w:val="008B6FDB"/>
    <w:rsid w:val="008C18BD"/>
    <w:rsid w:val="008C47F3"/>
    <w:rsid w:val="008C542D"/>
    <w:rsid w:val="008C5C25"/>
    <w:rsid w:val="008C7F71"/>
    <w:rsid w:val="008D07D9"/>
    <w:rsid w:val="008D18E5"/>
    <w:rsid w:val="008D1DCB"/>
    <w:rsid w:val="008D2A3F"/>
    <w:rsid w:val="008D339F"/>
    <w:rsid w:val="008D6AA9"/>
    <w:rsid w:val="008E191C"/>
    <w:rsid w:val="008E1A24"/>
    <w:rsid w:val="008E24D2"/>
    <w:rsid w:val="008E34F7"/>
    <w:rsid w:val="008E3962"/>
    <w:rsid w:val="008E3B71"/>
    <w:rsid w:val="008E59F7"/>
    <w:rsid w:val="008E6207"/>
    <w:rsid w:val="008E6292"/>
    <w:rsid w:val="008E6E36"/>
    <w:rsid w:val="008E7009"/>
    <w:rsid w:val="008E7657"/>
    <w:rsid w:val="008F0B7C"/>
    <w:rsid w:val="008F23EB"/>
    <w:rsid w:val="008F32E4"/>
    <w:rsid w:val="008F35C7"/>
    <w:rsid w:val="008F3AE5"/>
    <w:rsid w:val="008F47AF"/>
    <w:rsid w:val="008F63E0"/>
    <w:rsid w:val="008F73F1"/>
    <w:rsid w:val="00902E5E"/>
    <w:rsid w:val="00902FF7"/>
    <w:rsid w:val="00903138"/>
    <w:rsid w:val="00904869"/>
    <w:rsid w:val="00904BC1"/>
    <w:rsid w:val="00904E8D"/>
    <w:rsid w:val="00906599"/>
    <w:rsid w:val="00906663"/>
    <w:rsid w:val="00906E61"/>
    <w:rsid w:val="0091508A"/>
    <w:rsid w:val="00915DAC"/>
    <w:rsid w:val="0091653C"/>
    <w:rsid w:val="00917CAD"/>
    <w:rsid w:val="00917E28"/>
    <w:rsid w:val="00917ED2"/>
    <w:rsid w:val="009216DC"/>
    <w:rsid w:val="00922991"/>
    <w:rsid w:val="00922ED0"/>
    <w:rsid w:val="00923F62"/>
    <w:rsid w:val="00924E16"/>
    <w:rsid w:val="00925339"/>
    <w:rsid w:val="00925A23"/>
    <w:rsid w:val="00925AA5"/>
    <w:rsid w:val="00927BA2"/>
    <w:rsid w:val="00930740"/>
    <w:rsid w:val="00931604"/>
    <w:rsid w:val="00932900"/>
    <w:rsid w:val="00932E88"/>
    <w:rsid w:val="00933F5F"/>
    <w:rsid w:val="00934246"/>
    <w:rsid w:val="0093540D"/>
    <w:rsid w:val="0093729D"/>
    <w:rsid w:val="009376B3"/>
    <w:rsid w:val="00937751"/>
    <w:rsid w:val="0094019D"/>
    <w:rsid w:val="00940691"/>
    <w:rsid w:val="00942304"/>
    <w:rsid w:val="00942C11"/>
    <w:rsid w:val="00943428"/>
    <w:rsid w:val="0094351F"/>
    <w:rsid w:val="00944CB5"/>
    <w:rsid w:val="00945A0A"/>
    <w:rsid w:val="009473D1"/>
    <w:rsid w:val="0094758F"/>
    <w:rsid w:val="00950218"/>
    <w:rsid w:val="00950F77"/>
    <w:rsid w:val="00951480"/>
    <w:rsid w:val="009523FE"/>
    <w:rsid w:val="00953CAC"/>
    <w:rsid w:val="00953E63"/>
    <w:rsid w:val="009547F8"/>
    <w:rsid w:val="00955340"/>
    <w:rsid w:val="00955A38"/>
    <w:rsid w:val="0095604F"/>
    <w:rsid w:val="0096280B"/>
    <w:rsid w:val="00962ACF"/>
    <w:rsid w:val="00965DB4"/>
    <w:rsid w:val="00966CBE"/>
    <w:rsid w:val="009678BD"/>
    <w:rsid w:val="009729D4"/>
    <w:rsid w:val="00974461"/>
    <w:rsid w:val="009759CC"/>
    <w:rsid w:val="00975E04"/>
    <w:rsid w:val="009775D9"/>
    <w:rsid w:val="00980130"/>
    <w:rsid w:val="00980759"/>
    <w:rsid w:val="009808B8"/>
    <w:rsid w:val="00981328"/>
    <w:rsid w:val="009817B0"/>
    <w:rsid w:val="0098195E"/>
    <w:rsid w:val="009821CE"/>
    <w:rsid w:val="00982745"/>
    <w:rsid w:val="0098369A"/>
    <w:rsid w:val="00983ACC"/>
    <w:rsid w:val="009843EC"/>
    <w:rsid w:val="00986240"/>
    <w:rsid w:val="009938AE"/>
    <w:rsid w:val="00993BFB"/>
    <w:rsid w:val="00994A53"/>
    <w:rsid w:val="00994C7E"/>
    <w:rsid w:val="0099636F"/>
    <w:rsid w:val="00996506"/>
    <w:rsid w:val="009A0C54"/>
    <w:rsid w:val="009A12F6"/>
    <w:rsid w:val="009A1E62"/>
    <w:rsid w:val="009A277C"/>
    <w:rsid w:val="009A28A2"/>
    <w:rsid w:val="009A2CAC"/>
    <w:rsid w:val="009A39AE"/>
    <w:rsid w:val="009A4176"/>
    <w:rsid w:val="009A550A"/>
    <w:rsid w:val="009A5867"/>
    <w:rsid w:val="009A658F"/>
    <w:rsid w:val="009A672D"/>
    <w:rsid w:val="009A6D3C"/>
    <w:rsid w:val="009A7002"/>
    <w:rsid w:val="009A748A"/>
    <w:rsid w:val="009A787E"/>
    <w:rsid w:val="009B088F"/>
    <w:rsid w:val="009B09A3"/>
    <w:rsid w:val="009B10F1"/>
    <w:rsid w:val="009B2249"/>
    <w:rsid w:val="009B242E"/>
    <w:rsid w:val="009B2681"/>
    <w:rsid w:val="009B3652"/>
    <w:rsid w:val="009B69BC"/>
    <w:rsid w:val="009C15E7"/>
    <w:rsid w:val="009C3E7B"/>
    <w:rsid w:val="009C4630"/>
    <w:rsid w:val="009C4E50"/>
    <w:rsid w:val="009C4F64"/>
    <w:rsid w:val="009C5398"/>
    <w:rsid w:val="009C5820"/>
    <w:rsid w:val="009C592C"/>
    <w:rsid w:val="009C7B0A"/>
    <w:rsid w:val="009D1D57"/>
    <w:rsid w:val="009D2CFF"/>
    <w:rsid w:val="009D3399"/>
    <w:rsid w:val="009D3C16"/>
    <w:rsid w:val="009D483F"/>
    <w:rsid w:val="009D5882"/>
    <w:rsid w:val="009D6329"/>
    <w:rsid w:val="009E04A1"/>
    <w:rsid w:val="009E0CA5"/>
    <w:rsid w:val="009E171B"/>
    <w:rsid w:val="009E1D5C"/>
    <w:rsid w:val="009E2375"/>
    <w:rsid w:val="009E6494"/>
    <w:rsid w:val="009E6A71"/>
    <w:rsid w:val="009E7322"/>
    <w:rsid w:val="009E7E2E"/>
    <w:rsid w:val="009F0A2F"/>
    <w:rsid w:val="009F1054"/>
    <w:rsid w:val="009F14DB"/>
    <w:rsid w:val="009F1A93"/>
    <w:rsid w:val="009F30AE"/>
    <w:rsid w:val="009F322F"/>
    <w:rsid w:val="009F3A11"/>
    <w:rsid w:val="009F424C"/>
    <w:rsid w:val="009F4D69"/>
    <w:rsid w:val="009F6895"/>
    <w:rsid w:val="009F7509"/>
    <w:rsid w:val="009F7D51"/>
    <w:rsid w:val="00A015E8"/>
    <w:rsid w:val="00A02E2C"/>
    <w:rsid w:val="00A02F7D"/>
    <w:rsid w:val="00A03796"/>
    <w:rsid w:val="00A04FDD"/>
    <w:rsid w:val="00A054B8"/>
    <w:rsid w:val="00A06101"/>
    <w:rsid w:val="00A072A2"/>
    <w:rsid w:val="00A07D47"/>
    <w:rsid w:val="00A10593"/>
    <w:rsid w:val="00A12BBC"/>
    <w:rsid w:val="00A12F62"/>
    <w:rsid w:val="00A13D73"/>
    <w:rsid w:val="00A14FE9"/>
    <w:rsid w:val="00A154A6"/>
    <w:rsid w:val="00A15992"/>
    <w:rsid w:val="00A1634E"/>
    <w:rsid w:val="00A1786F"/>
    <w:rsid w:val="00A234B6"/>
    <w:rsid w:val="00A24047"/>
    <w:rsid w:val="00A24EE5"/>
    <w:rsid w:val="00A26324"/>
    <w:rsid w:val="00A26524"/>
    <w:rsid w:val="00A27C2E"/>
    <w:rsid w:val="00A303E5"/>
    <w:rsid w:val="00A32723"/>
    <w:rsid w:val="00A33ECE"/>
    <w:rsid w:val="00A35C13"/>
    <w:rsid w:val="00A366DE"/>
    <w:rsid w:val="00A36A5C"/>
    <w:rsid w:val="00A36B27"/>
    <w:rsid w:val="00A3749B"/>
    <w:rsid w:val="00A3764C"/>
    <w:rsid w:val="00A376A2"/>
    <w:rsid w:val="00A37A50"/>
    <w:rsid w:val="00A37D87"/>
    <w:rsid w:val="00A40B91"/>
    <w:rsid w:val="00A414D1"/>
    <w:rsid w:val="00A429BD"/>
    <w:rsid w:val="00A445E0"/>
    <w:rsid w:val="00A469E3"/>
    <w:rsid w:val="00A502F5"/>
    <w:rsid w:val="00A50D88"/>
    <w:rsid w:val="00A51392"/>
    <w:rsid w:val="00A53761"/>
    <w:rsid w:val="00A5457D"/>
    <w:rsid w:val="00A54654"/>
    <w:rsid w:val="00A5484F"/>
    <w:rsid w:val="00A563DD"/>
    <w:rsid w:val="00A56923"/>
    <w:rsid w:val="00A613E7"/>
    <w:rsid w:val="00A61988"/>
    <w:rsid w:val="00A62641"/>
    <w:rsid w:val="00A62E42"/>
    <w:rsid w:val="00A637D5"/>
    <w:rsid w:val="00A6463C"/>
    <w:rsid w:val="00A64A71"/>
    <w:rsid w:val="00A64FAC"/>
    <w:rsid w:val="00A667A1"/>
    <w:rsid w:val="00A70CFB"/>
    <w:rsid w:val="00A7150C"/>
    <w:rsid w:val="00A7232B"/>
    <w:rsid w:val="00A7236C"/>
    <w:rsid w:val="00A72960"/>
    <w:rsid w:val="00A72D8F"/>
    <w:rsid w:val="00A74815"/>
    <w:rsid w:val="00A7491A"/>
    <w:rsid w:val="00A74EFF"/>
    <w:rsid w:val="00A76197"/>
    <w:rsid w:val="00A7768B"/>
    <w:rsid w:val="00A8129B"/>
    <w:rsid w:val="00A823FC"/>
    <w:rsid w:val="00A82A74"/>
    <w:rsid w:val="00A839DC"/>
    <w:rsid w:val="00A85A0D"/>
    <w:rsid w:val="00A92D88"/>
    <w:rsid w:val="00A92FEC"/>
    <w:rsid w:val="00A93401"/>
    <w:rsid w:val="00A937B9"/>
    <w:rsid w:val="00A95705"/>
    <w:rsid w:val="00A964BF"/>
    <w:rsid w:val="00A96F80"/>
    <w:rsid w:val="00A97160"/>
    <w:rsid w:val="00A979A0"/>
    <w:rsid w:val="00AA1C81"/>
    <w:rsid w:val="00AA1E9C"/>
    <w:rsid w:val="00AA1F49"/>
    <w:rsid w:val="00AA28F3"/>
    <w:rsid w:val="00AA67BB"/>
    <w:rsid w:val="00AA7D48"/>
    <w:rsid w:val="00AB1633"/>
    <w:rsid w:val="00AB1BC5"/>
    <w:rsid w:val="00AB1EF2"/>
    <w:rsid w:val="00AB5A92"/>
    <w:rsid w:val="00AB7336"/>
    <w:rsid w:val="00AB77AA"/>
    <w:rsid w:val="00AC1438"/>
    <w:rsid w:val="00AC2A3F"/>
    <w:rsid w:val="00AC3196"/>
    <w:rsid w:val="00AC364E"/>
    <w:rsid w:val="00AC4065"/>
    <w:rsid w:val="00AC4546"/>
    <w:rsid w:val="00AC481F"/>
    <w:rsid w:val="00AC655D"/>
    <w:rsid w:val="00AC6E69"/>
    <w:rsid w:val="00AC75E2"/>
    <w:rsid w:val="00AC7732"/>
    <w:rsid w:val="00AD05D9"/>
    <w:rsid w:val="00AD122A"/>
    <w:rsid w:val="00AD149F"/>
    <w:rsid w:val="00AD3D89"/>
    <w:rsid w:val="00AD3E05"/>
    <w:rsid w:val="00AD4867"/>
    <w:rsid w:val="00AD48FF"/>
    <w:rsid w:val="00AD4E6E"/>
    <w:rsid w:val="00AD7FC2"/>
    <w:rsid w:val="00AE07F8"/>
    <w:rsid w:val="00AE2EE5"/>
    <w:rsid w:val="00AE2F90"/>
    <w:rsid w:val="00AE3784"/>
    <w:rsid w:val="00AE5C22"/>
    <w:rsid w:val="00AE6AB5"/>
    <w:rsid w:val="00AE7C83"/>
    <w:rsid w:val="00AF03C5"/>
    <w:rsid w:val="00AF06A7"/>
    <w:rsid w:val="00AF097E"/>
    <w:rsid w:val="00AF0F56"/>
    <w:rsid w:val="00AF12BA"/>
    <w:rsid w:val="00AF288E"/>
    <w:rsid w:val="00AF5DE4"/>
    <w:rsid w:val="00AF5EAD"/>
    <w:rsid w:val="00AF6099"/>
    <w:rsid w:val="00AF6C95"/>
    <w:rsid w:val="00B0101B"/>
    <w:rsid w:val="00B0112B"/>
    <w:rsid w:val="00B02A57"/>
    <w:rsid w:val="00B03DD6"/>
    <w:rsid w:val="00B05CB6"/>
    <w:rsid w:val="00B05D46"/>
    <w:rsid w:val="00B05E74"/>
    <w:rsid w:val="00B066D2"/>
    <w:rsid w:val="00B07837"/>
    <w:rsid w:val="00B10DBA"/>
    <w:rsid w:val="00B10EA0"/>
    <w:rsid w:val="00B112A6"/>
    <w:rsid w:val="00B11451"/>
    <w:rsid w:val="00B11C5D"/>
    <w:rsid w:val="00B11F72"/>
    <w:rsid w:val="00B14690"/>
    <w:rsid w:val="00B14E78"/>
    <w:rsid w:val="00B15012"/>
    <w:rsid w:val="00B20784"/>
    <w:rsid w:val="00B214C6"/>
    <w:rsid w:val="00B22051"/>
    <w:rsid w:val="00B23211"/>
    <w:rsid w:val="00B25B67"/>
    <w:rsid w:val="00B27B6D"/>
    <w:rsid w:val="00B30242"/>
    <w:rsid w:val="00B309E9"/>
    <w:rsid w:val="00B341C9"/>
    <w:rsid w:val="00B343FB"/>
    <w:rsid w:val="00B3583B"/>
    <w:rsid w:val="00B37350"/>
    <w:rsid w:val="00B37A8F"/>
    <w:rsid w:val="00B37F69"/>
    <w:rsid w:val="00B421C6"/>
    <w:rsid w:val="00B42FC6"/>
    <w:rsid w:val="00B4370B"/>
    <w:rsid w:val="00B44B10"/>
    <w:rsid w:val="00B454F0"/>
    <w:rsid w:val="00B46371"/>
    <w:rsid w:val="00B47A80"/>
    <w:rsid w:val="00B50561"/>
    <w:rsid w:val="00B51F7C"/>
    <w:rsid w:val="00B55154"/>
    <w:rsid w:val="00B55B04"/>
    <w:rsid w:val="00B573DA"/>
    <w:rsid w:val="00B62B19"/>
    <w:rsid w:val="00B62C28"/>
    <w:rsid w:val="00B633C8"/>
    <w:rsid w:val="00B63D94"/>
    <w:rsid w:val="00B64CA3"/>
    <w:rsid w:val="00B65347"/>
    <w:rsid w:val="00B65DE1"/>
    <w:rsid w:val="00B666E4"/>
    <w:rsid w:val="00B706DC"/>
    <w:rsid w:val="00B70A1F"/>
    <w:rsid w:val="00B71A19"/>
    <w:rsid w:val="00B7293B"/>
    <w:rsid w:val="00B72AF0"/>
    <w:rsid w:val="00B737EB"/>
    <w:rsid w:val="00B742FA"/>
    <w:rsid w:val="00B744D8"/>
    <w:rsid w:val="00B75110"/>
    <w:rsid w:val="00B75AA3"/>
    <w:rsid w:val="00B75AC1"/>
    <w:rsid w:val="00B765CB"/>
    <w:rsid w:val="00B775EE"/>
    <w:rsid w:val="00B833EC"/>
    <w:rsid w:val="00B86CFE"/>
    <w:rsid w:val="00B87927"/>
    <w:rsid w:val="00B90242"/>
    <w:rsid w:val="00B92E32"/>
    <w:rsid w:val="00B946B7"/>
    <w:rsid w:val="00B953D7"/>
    <w:rsid w:val="00B955F2"/>
    <w:rsid w:val="00B97246"/>
    <w:rsid w:val="00BA07DD"/>
    <w:rsid w:val="00BA0CB2"/>
    <w:rsid w:val="00BA0EDC"/>
    <w:rsid w:val="00BA1443"/>
    <w:rsid w:val="00BA2A74"/>
    <w:rsid w:val="00BA493D"/>
    <w:rsid w:val="00BA4F64"/>
    <w:rsid w:val="00BA5818"/>
    <w:rsid w:val="00BA6B92"/>
    <w:rsid w:val="00BB00F3"/>
    <w:rsid w:val="00BB0C26"/>
    <w:rsid w:val="00BB306E"/>
    <w:rsid w:val="00BB4409"/>
    <w:rsid w:val="00BB487C"/>
    <w:rsid w:val="00BB50DB"/>
    <w:rsid w:val="00BB5400"/>
    <w:rsid w:val="00BB606A"/>
    <w:rsid w:val="00BB67A9"/>
    <w:rsid w:val="00BC0CDF"/>
    <w:rsid w:val="00BC40C1"/>
    <w:rsid w:val="00BC4DB3"/>
    <w:rsid w:val="00BC6E69"/>
    <w:rsid w:val="00BD02AF"/>
    <w:rsid w:val="00BD23A5"/>
    <w:rsid w:val="00BD26AA"/>
    <w:rsid w:val="00BD2B12"/>
    <w:rsid w:val="00BD454F"/>
    <w:rsid w:val="00BD48B9"/>
    <w:rsid w:val="00BD58E9"/>
    <w:rsid w:val="00BD5E3B"/>
    <w:rsid w:val="00BD6B76"/>
    <w:rsid w:val="00BD6C5D"/>
    <w:rsid w:val="00BE1EE4"/>
    <w:rsid w:val="00BE25ED"/>
    <w:rsid w:val="00BE2CF5"/>
    <w:rsid w:val="00BE3295"/>
    <w:rsid w:val="00BE3710"/>
    <w:rsid w:val="00BE3F97"/>
    <w:rsid w:val="00BE4767"/>
    <w:rsid w:val="00BE4A55"/>
    <w:rsid w:val="00BE578B"/>
    <w:rsid w:val="00BE6AB1"/>
    <w:rsid w:val="00BE7EA5"/>
    <w:rsid w:val="00BF0390"/>
    <w:rsid w:val="00BF0C37"/>
    <w:rsid w:val="00BF35ED"/>
    <w:rsid w:val="00BF5010"/>
    <w:rsid w:val="00BF6E7B"/>
    <w:rsid w:val="00C01187"/>
    <w:rsid w:val="00C01DCC"/>
    <w:rsid w:val="00C01FA2"/>
    <w:rsid w:val="00C039A9"/>
    <w:rsid w:val="00C04A4E"/>
    <w:rsid w:val="00C07E66"/>
    <w:rsid w:val="00C106F5"/>
    <w:rsid w:val="00C12708"/>
    <w:rsid w:val="00C14F1A"/>
    <w:rsid w:val="00C15994"/>
    <w:rsid w:val="00C166FB"/>
    <w:rsid w:val="00C17DB5"/>
    <w:rsid w:val="00C202B3"/>
    <w:rsid w:val="00C21EE0"/>
    <w:rsid w:val="00C23A95"/>
    <w:rsid w:val="00C248DB"/>
    <w:rsid w:val="00C24E84"/>
    <w:rsid w:val="00C261FC"/>
    <w:rsid w:val="00C264F2"/>
    <w:rsid w:val="00C26672"/>
    <w:rsid w:val="00C26D06"/>
    <w:rsid w:val="00C26D6D"/>
    <w:rsid w:val="00C27DC0"/>
    <w:rsid w:val="00C30297"/>
    <w:rsid w:val="00C303D4"/>
    <w:rsid w:val="00C34305"/>
    <w:rsid w:val="00C36A7D"/>
    <w:rsid w:val="00C36B06"/>
    <w:rsid w:val="00C36D4C"/>
    <w:rsid w:val="00C3718E"/>
    <w:rsid w:val="00C3776E"/>
    <w:rsid w:val="00C41F17"/>
    <w:rsid w:val="00C42BE4"/>
    <w:rsid w:val="00C45EA6"/>
    <w:rsid w:val="00C50B48"/>
    <w:rsid w:val="00C51234"/>
    <w:rsid w:val="00C5227D"/>
    <w:rsid w:val="00C523A1"/>
    <w:rsid w:val="00C54745"/>
    <w:rsid w:val="00C555AC"/>
    <w:rsid w:val="00C557AD"/>
    <w:rsid w:val="00C563D4"/>
    <w:rsid w:val="00C56AF1"/>
    <w:rsid w:val="00C57620"/>
    <w:rsid w:val="00C60AAD"/>
    <w:rsid w:val="00C64FE1"/>
    <w:rsid w:val="00C650BC"/>
    <w:rsid w:val="00C66BD5"/>
    <w:rsid w:val="00C713ED"/>
    <w:rsid w:val="00C72318"/>
    <w:rsid w:val="00C724E6"/>
    <w:rsid w:val="00C7370D"/>
    <w:rsid w:val="00C73893"/>
    <w:rsid w:val="00C747A5"/>
    <w:rsid w:val="00C74BDB"/>
    <w:rsid w:val="00C74CBD"/>
    <w:rsid w:val="00C77BC3"/>
    <w:rsid w:val="00C77D53"/>
    <w:rsid w:val="00C77DE9"/>
    <w:rsid w:val="00C81C74"/>
    <w:rsid w:val="00C82CD8"/>
    <w:rsid w:val="00C85314"/>
    <w:rsid w:val="00C8578A"/>
    <w:rsid w:val="00C85DE5"/>
    <w:rsid w:val="00C87E7F"/>
    <w:rsid w:val="00C87E9D"/>
    <w:rsid w:val="00C900A4"/>
    <w:rsid w:val="00C913E9"/>
    <w:rsid w:val="00C91462"/>
    <w:rsid w:val="00C927CE"/>
    <w:rsid w:val="00C9325D"/>
    <w:rsid w:val="00C94AD1"/>
    <w:rsid w:val="00C958AB"/>
    <w:rsid w:val="00C95A37"/>
    <w:rsid w:val="00C963CE"/>
    <w:rsid w:val="00C964E0"/>
    <w:rsid w:val="00CA0116"/>
    <w:rsid w:val="00CA014C"/>
    <w:rsid w:val="00CA07F3"/>
    <w:rsid w:val="00CA391B"/>
    <w:rsid w:val="00CA4BC0"/>
    <w:rsid w:val="00CA5CA8"/>
    <w:rsid w:val="00CA7B20"/>
    <w:rsid w:val="00CA7C9F"/>
    <w:rsid w:val="00CB0157"/>
    <w:rsid w:val="00CB01FF"/>
    <w:rsid w:val="00CB1717"/>
    <w:rsid w:val="00CB28E9"/>
    <w:rsid w:val="00CB2992"/>
    <w:rsid w:val="00CB3CBA"/>
    <w:rsid w:val="00CB5205"/>
    <w:rsid w:val="00CB5221"/>
    <w:rsid w:val="00CB5A1A"/>
    <w:rsid w:val="00CB5F89"/>
    <w:rsid w:val="00CC38AC"/>
    <w:rsid w:val="00CC3BCF"/>
    <w:rsid w:val="00CC44C0"/>
    <w:rsid w:val="00CC4A98"/>
    <w:rsid w:val="00CC559D"/>
    <w:rsid w:val="00CC6329"/>
    <w:rsid w:val="00CC6BB8"/>
    <w:rsid w:val="00CC7709"/>
    <w:rsid w:val="00CD0C13"/>
    <w:rsid w:val="00CD12E7"/>
    <w:rsid w:val="00CD1880"/>
    <w:rsid w:val="00CD297E"/>
    <w:rsid w:val="00CD29B6"/>
    <w:rsid w:val="00CD4DB3"/>
    <w:rsid w:val="00CD654B"/>
    <w:rsid w:val="00CE0C48"/>
    <w:rsid w:val="00CE223E"/>
    <w:rsid w:val="00CE224E"/>
    <w:rsid w:val="00CE2C23"/>
    <w:rsid w:val="00CE4A44"/>
    <w:rsid w:val="00CE586C"/>
    <w:rsid w:val="00CE5C46"/>
    <w:rsid w:val="00CE6375"/>
    <w:rsid w:val="00CE67B8"/>
    <w:rsid w:val="00CE6879"/>
    <w:rsid w:val="00CE7E33"/>
    <w:rsid w:val="00CF0768"/>
    <w:rsid w:val="00CF07DA"/>
    <w:rsid w:val="00CF1C2F"/>
    <w:rsid w:val="00CF3A0B"/>
    <w:rsid w:val="00CF3F0D"/>
    <w:rsid w:val="00CF53CE"/>
    <w:rsid w:val="00CF7E49"/>
    <w:rsid w:val="00D01AC0"/>
    <w:rsid w:val="00D024EB"/>
    <w:rsid w:val="00D04F9F"/>
    <w:rsid w:val="00D101F7"/>
    <w:rsid w:val="00D107E8"/>
    <w:rsid w:val="00D1110B"/>
    <w:rsid w:val="00D12BB1"/>
    <w:rsid w:val="00D12C84"/>
    <w:rsid w:val="00D134EB"/>
    <w:rsid w:val="00D141DF"/>
    <w:rsid w:val="00D145F5"/>
    <w:rsid w:val="00D150A9"/>
    <w:rsid w:val="00D171E0"/>
    <w:rsid w:val="00D17395"/>
    <w:rsid w:val="00D17ADE"/>
    <w:rsid w:val="00D22762"/>
    <w:rsid w:val="00D238DD"/>
    <w:rsid w:val="00D25440"/>
    <w:rsid w:val="00D26028"/>
    <w:rsid w:val="00D26C36"/>
    <w:rsid w:val="00D26F30"/>
    <w:rsid w:val="00D27BAA"/>
    <w:rsid w:val="00D27FCB"/>
    <w:rsid w:val="00D316A1"/>
    <w:rsid w:val="00D329F1"/>
    <w:rsid w:val="00D33FAC"/>
    <w:rsid w:val="00D355F0"/>
    <w:rsid w:val="00D36C91"/>
    <w:rsid w:val="00D41282"/>
    <w:rsid w:val="00D418C8"/>
    <w:rsid w:val="00D424A2"/>
    <w:rsid w:val="00D43305"/>
    <w:rsid w:val="00D43AC8"/>
    <w:rsid w:val="00D43F6B"/>
    <w:rsid w:val="00D440F9"/>
    <w:rsid w:val="00D50879"/>
    <w:rsid w:val="00D51610"/>
    <w:rsid w:val="00D52846"/>
    <w:rsid w:val="00D52E01"/>
    <w:rsid w:val="00D5408D"/>
    <w:rsid w:val="00D56113"/>
    <w:rsid w:val="00D56130"/>
    <w:rsid w:val="00D57340"/>
    <w:rsid w:val="00D63D4B"/>
    <w:rsid w:val="00D643F4"/>
    <w:rsid w:val="00D70293"/>
    <w:rsid w:val="00D715F9"/>
    <w:rsid w:val="00D72105"/>
    <w:rsid w:val="00D7303C"/>
    <w:rsid w:val="00D7307A"/>
    <w:rsid w:val="00D73B89"/>
    <w:rsid w:val="00D77A2F"/>
    <w:rsid w:val="00D80BD8"/>
    <w:rsid w:val="00D811F4"/>
    <w:rsid w:val="00D82257"/>
    <w:rsid w:val="00D829F5"/>
    <w:rsid w:val="00D832D1"/>
    <w:rsid w:val="00D833D9"/>
    <w:rsid w:val="00D83BD9"/>
    <w:rsid w:val="00D84BFD"/>
    <w:rsid w:val="00D872D6"/>
    <w:rsid w:val="00D901C6"/>
    <w:rsid w:val="00D94DCF"/>
    <w:rsid w:val="00D94EAE"/>
    <w:rsid w:val="00D964D0"/>
    <w:rsid w:val="00D969DC"/>
    <w:rsid w:val="00D96CF5"/>
    <w:rsid w:val="00DA0762"/>
    <w:rsid w:val="00DA2686"/>
    <w:rsid w:val="00DA462A"/>
    <w:rsid w:val="00DA4FDC"/>
    <w:rsid w:val="00DA586F"/>
    <w:rsid w:val="00DA59CF"/>
    <w:rsid w:val="00DB08DA"/>
    <w:rsid w:val="00DB130A"/>
    <w:rsid w:val="00DB1E95"/>
    <w:rsid w:val="00DB2133"/>
    <w:rsid w:val="00DB2E6A"/>
    <w:rsid w:val="00DB33D6"/>
    <w:rsid w:val="00DB44ED"/>
    <w:rsid w:val="00DB6694"/>
    <w:rsid w:val="00DB7097"/>
    <w:rsid w:val="00DB746C"/>
    <w:rsid w:val="00DB7F09"/>
    <w:rsid w:val="00DC00E8"/>
    <w:rsid w:val="00DC1C56"/>
    <w:rsid w:val="00DC28AE"/>
    <w:rsid w:val="00DC3623"/>
    <w:rsid w:val="00DC3A54"/>
    <w:rsid w:val="00DC41A4"/>
    <w:rsid w:val="00DC4756"/>
    <w:rsid w:val="00DC6379"/>
    <w:rsid w:val="00DC67E1"/>
    <w:rsid w:val="00DC6AAD"/>
    <w:rsid w:val="00DD0F66"/>
    <w:rsid w:val="00DD1698"/>
    <w:rsid w:val="00DD336F"/>
    <w:rsid w:val="00DD4EF3"/>
    <w:rsid w:val="00DD6C89"/>
    <w:rsid w:val="00DD7309"/>
    <w:rsid w:val="00DD7E97"/>
    <w:rsid w:val="00DE166A"/>
    <w:rsid w:val="00DE19C3"/>
    <w:rsid w:val="00DE2370"/>
    <w:rsid w:val="00DE2763"/>
    <w:rsid w:val="00DE3A53"/>
    <w:rsid w:val="00DE3C77"/>
    <w:rsid w:val="00DE56BE"/>
    <w:rsid w:val="00DE56D8"/>
    <w:rsid w:val="00DE5D31"/>
    <w:rsid w:val="00DE6DEA"/>
    <w:rsid w:val="00DE70F1"/>
    <w:rsid w:val="00DE76AA"/>
    <w:rsid w:val="00DF583D"/>
    <w:rsid w:val="00DF6F61"/>
    <w:rsid w:val="00DF7BD0"/>
    <w:rsid w:val="00E00029"/>
    <w:rsid w:val="00E0023D"/>
    <w:rsid w:val="00E00443"/>
    <w:rsid w:val="00E00D2F"/>
    <w:rsid w:val="00E02267"/>
    <w:rsid w:val="00E02A21"/>
    <w:rsid w:val="00E05659"/>
    <w:rsid w:val="00E061DE"/>
    <w:rsid w:val="00E062C0"/>
    <w:rsid w:val="00E06C74"/>
    <w:rsid w:val="00E0754D"/>
    <w:rsid w:val="00E101C6"/>
    <w:rsid w:val="00E1143F"/>
    <w:rsid w:val="00E13B30"/>
    <w:rsid w:val="00E13FCF"/>
    <w:rsid w:val="00E15843"/>
    <w:rsid w:val="00E17DBC"/>
    <w:rsid w:val="00E210EA"/>
    <w:rsid w:val="00E217E7"/>
    <w:rsid w:val="00E220AD"/>
    <w:rsid w:val="00E22C80"/>
    <w:rsid w:val="00E22D51"/>
    <w:rsid w:val="00E26018"/>
    <w:rsid w:val="00E26364"/>
    <w:rsid w:val="00E3038D"/>
    <w:rsid w:val="00E31903"/>
    <w:rsid w:val="00E349A7"/>
    <w:rsid w:val="00E34DA8"/>
    <w:rsid w:val="00E35055"/>
    <w:rsid w:val="00E36BCC"/>
    <w:rsid w:val="00E3726F"/>
    <w:rsid w:val="00E37834"/>
    <w:rsid w:val="00E418DB"/>
    <w:rsid w:val="00E41D99"/>
    <w:rsid w:val="00E4495E"/>
    <w:rsid w:val="00E50E7C"/>
    <w:rsid w:val="00E51545"/>
    <w:rsid w:val="00E51D9E"/>
    <w:rsid w:val="00E51E30"/>
    <w:rsid w:val="00E52303"/>
    <w:rsid w:val="00E52EB1"/>
    <w:rsid w:val="00E537D1"/>
    <w:rsid w:val="00E539E8"/>
    <w:rsid w:val="00E54A49"/>
    <w:rsid w:val="00E54ED6"/>
    <w:rsid w:val="00E55534"/>
    <w:rsid w:val="00E5623F"/>
    <w:rsid w:val="00E567E6"/>
    <w:rsid w:val="00E56971"/>
    <w:rsid w:val="00E6081D"/>
    <w:rsid w:val="00E61484"/>
    <w:rsid w:val="00E625E2"/>
    <w:rsid w:val="00E631E1"/>
    <w:rsid w:val="00E63956"/>
    <w:rsid w:val="00E64264"/>
    <w:rsid w:val="00E65266"/>
    <w:rsid w:val="00E65F1E"/>
    <w:rsid w:val="00E66068"/>
    <w:rsid w:val="00E6614D"/>
    <w:rsid w:val="00E677AD"/>
    <w:rsid w:val="00E7017C"/>
    <w:rsid w:val="00E711D7"/>
    <w:rsid w:val="00E71D71"/>
    <w:rsid w:val="00E73939"/>
    <w:rsid w:val="00E76CAB"/>
    <w:rsid w:val="00E77839"/>
    <w:rsid w:val="00E8070C"/>
    <w:rsid w:val="00E80C91"/>
    <w:rsid w:val="00E815E1"/>
    <w:rsid w:val="00E83450"/>
    <w:rsid w:val="00E84013"/>
    <w:rsid w:val="00E85243"/>
    <w:rsid w:val="00E85439"/>
    <w:rsid w:val="00E85681"/>
    <w:rsid w:val="00E85812"/>
    <w:rsid w:val="00E859C1"/>
    <w:rsid w:val="00E85C8B"/>
    <w:rsid w:val="00E86A0C"/>
    <w:rsid w:val="00E902B0"/>
    <w:rsid w:val="00E902E8"/>
    <w:rsid w:val="00E908F0"/>
    <w:rsid w:val="00E90F59"/>
    <w:rsid w:val="00E9296B"/>
    <w:rsid w:val="00E9316C"/>
    <w:rsid w:val="00E95D8A"/>
    <w:rsid w:val="00E96BD1"/>
    <w:rsid w:val="00E97C19"/>
    <w:rsid w:val="00EA14FA"/>
    <w:rsid w:val="00EA1ABC"/>
    <w:rsid w:val="00EA23AC"/>
    <w:rsid w:val="00EA2B8B"/>
    <w:rsid w:val="00EA3617"/>
    <w:rsid w:val="00EA398F"/>
    <w:rsid w:val="00EA5F34"/>
    <w:rsid w:val="00EA738D"/>
    <w:rsid w:val="00EA7C3D"/>
    <w:rsid w:val="00EB0AEA"/>
    <w:rsid w:val="00EB0E9A"/>
    <w:rsid w:val="00EB1069"/>
    <w:rsid w:val="00EB2A80"/>
    <w:rsid w:val="00EB3353"/>
    <w:rsid w:val="00EB4B0B"/>
    <w:rsid w:val="00EB58A2"/>
    <w:rsid w:val="00EB6878"/>
    <w:rsid w:val="00EC14F4"/>
    <w:rsid w:val="00EC1839"/>
    <w:rsid w:val="00EC19B7"/>
    <w:rsid w:val="00EC1E0E"/>
    <w:rsid w:val="00EC236D"/>
    <w:rsid w:val="00EC4A52"/>
    <w:rsid w:val="00EC5F0D"/>
    <w:rsid w:val="00EC6B16"/>
    <w:rsid w:val="00EC6FB6"/>
    <w:rsid w:val="00EC7C9E"/>
    <w:rsid w:val="00ED130C"/>
    <w:rsid w:val="00ED2645"/>
    <w:rsid w:val="00ED3213"/>
    <w:rsid w:val="00ED3FEC"/>
    <w:rsid w:val="00ED518F"/>
    <w:rsid w:val="00ED5A20"/>
    <w:rsid w:val="00ED5E56"/>
    <w:rsid w:val="00ED5F89"/>
    <w:rsid w:val="00EE1158"/>
    <w:rsid w:val="00EE1447"/>
    <w:rsid w:val="00EE19B9"/>
    <w:rsid w:val="00EE1BF1"/>
    <w:rsid w:val="00EE1C4B"/>
    <w:rsid w:val="00EE2605"/>
    <w:rsid w:val="00EE2970"/>
    <w:rsid w:val="00EE4864"/>
    <w:rsid w:val="00EE7744"/>
    <w:rsid w:val="00EE78B1"/>
    <w:rsid w:val="00EF03E1"/>
    <w:rsid w:val="00EF04C1"/>
    <w:rsid w:val="00EF12EE"/>
    <w:rsid w:val="00EF13EA"/>
    <w:rsid w:val="00EF145E"/>
    <w:rsid w:val="00EF1A05"/>
    <w:rsid w:val="00EF24EE"/>
    <w:rsid w:val="00EF2BBB"/>
    <w:rsid w:val="00EF38A8"/>
    <w:rsid w:val="00EF3C22"/>
    <w:rsid w:val="00EF45EE"/>
    <w:rsid w:val="00EF599C"/>
    <w:rsid w:val="00EF68E3"/>
    <w:rsid w:val="00EF6921"/>
    <w:rsid w:val="00EF70AF"/>
    <w:rsid w:val="00F0082D"/>
    <w:rsid w:val="00F00933"/>
    <w:rsid w:val="00F015AB"/>
    <w:rsid w:val="00F045E0"/>
    <w:rsid w:val="00F0537B"/>
    <w:rsid w:val="00F05511"/>
    <w:rsid w:val="00F05A84"/>
    <w:rsid w:val="00F05C86"/>
    <w:rsid w:val="00F063CC"/>
    <w:rsid w:val="00F071E1"/>
    <w:rsid w:val="00F07323"/>
    <w:rsid w:val="00F07C90"/>
    <w:rsid w:val="00F10736"/>
    <w:rsid w:val="00F11D01"/>
    <w:rsid w:val="00F1201F"/>
    <w:rsid w:val="00F12BF1"/>
    <w:rsid w:val="00F12C43"/>
    <w:rsid w:val="00F1531E"/>
    <w:rsid w:val="00F1596C"/>
    <w:rsid w:val="00F15A4D"/>
    <w:rsid w:val="00F16AC8"/>
    <w:rsid w:val="00F20F8A"/>
    <w:rsid w:val="00F2106F"/>
    <w:rsid w:val="00F2414D"/>
    <w:rsid w:val="00F244CF"/>
    <w:rsid w:val="00F246AA"/>
    <w:rsid w:val="00F26605"/>
    <w:rsid w:val="00F2673A"/>
    <w:rsid w:val="00F30067"/>
    <w:rsid w:val="00F304A4"/>
    <w:rsid w:val="00F3183E"/>
    <w:rsid w:val="00F32133"/>
    <w:rsid w:val="00F3283A"/>
    <w:rsid w:val="00F32BB8"/>
    <w:rsid w:val="00F33DB8"/>
    <w:rsid w:val="00F34B5F"/>
    <w:rsid w:val="00F34B61"/>
    <w:rsid w:val="00F352CC"/>
    <w:rsid w:val="00F3675A"/>
    <w:rsid w:val="00F370BE"/>
    <w:rsid w:val="00F41362"/>
    <w:rsid w:val="00F41C68"/>
    <w:rsid w:val="00F41FDE"/>
    <w:rsid w:val="00F4328B"/>
    <w:rsid w:val="00F5174A"/>
    <w:rsid w:val="00F51D7F"/>
    <w:rsid w:val="00F5365A"/>
    <w:rsid w:val="00F53E50"/>
    <w:rsid w:val="00F56F01"/>
    <w:rsid w:val="00F57BED"/>
    <w:rsid w:val="00F60198"/>
    <w:rsid w:val="00F60F1B"/>
    <w:rsid w:val="00F62623"/>
    <w:rsid w:val="00F62BC8"/>
    <w:rsid w:val="00F63B39"/>
    <w:rsid w:val="00F64B0A"/>
    <w:rsid w:val="00F654DB"/>
    <w:rsid w:val="00F669CD"/>
    <w:rsid w:val="00F6732D"/>
    <w:rsid w:val="00F71912"/>
    <w:rsid w:val="00F72101"/>
    <w:rsid w:val="00F733FF"/>
    <w:rsid w:val="00F737DB"/>
    <w:rsid w:val="00F745CD"/>
    <w:rsid w:val="00F7610D"/>
    <w:rsid w:val="00F7613A"/>
    <w:rsid w:val="00F76CFC"/>
    <w:rsid w:val="00F775B6"/>
    <w:rsid w:val="00F77DEA"/>
    <w:rsid w:val="00F814A8"/>
    <w:rsid w:val="00F82746"/>
    <w:rsid w:val="00F836F9"/>
    <w:rsid w:val="00F845D7"/>
    <w:rsid w:val="00F87590"/>
    <w:rsid w:val="00F91CE5"/>
    <w:rsid w:val="00F92279"/>
    <w:rsid w:val="00F92338"/>
    <w:rsid w:val="00F92CDD"/>
    <w:rsid w:val="00F92D75"/>
    <w:rsid w:val="00F940EF"/>
    <w:rsid w:val="00F945BA"/>
    <w:rsid w:val="00F945E1"/>
    <w:rsid w:val="00F95F82"/>
    <w:rsid w:val="00F96DEE"/>
    <w:rsid w:val="00FA0945"/>
    <w:rsid w:val="00FA2722"/>
    <w:rsid w:val="00FA39B3"/>
    <w:rsid w:val="00FA3BB0"/>
    <w:rsid w:val="00FA4057"/>
    <w:rsid w:val="00FA5763"/>
    <w:rsid w:val="00FA6D81"/>
    <w:rsid w:val="00FA7E67"/>
    <w:rsid w:val="00FB0678"/>
    <w:rsid w:val="00FB0B6B"/>
    <w:rsid w:val="00FB2F8B"/>
    <w:rsid w:val="00FB36F8"/>
    <w:rsid w:val="00FB4CBA"/>
    <w:rsid w:val="00FB4D21"/>
    <w:rsid w:val="00FB556D"/>
    <w:rsid w:val="00FB65BC"/>
    <w:rsid w:val="00FB762B"/>
    <w:rsid w:val="00FC11E9"/>
    <w:rsid w:val="00FC1793"/>
    <w:rsid w:val="00FC3C72"/>
    <w:rsid w:val="00FC3C94"/>
    <w:rsid w:val="00FC445E"/>
    <w:rsid w:val="00FC4A14"/>
    <w:rsid w:val="00FC6ADA"/>
    <w:rsid w:val="00FC6C50"/>
    <w:rsid w:val="00FC7185"/>
    <w:rsid w:val="00FC74E9"/>
    <w:rsid w:val="00FD0409"/>
    <w:rsid w:val="00FD0B50"/>
    <w:rsid w:val="00FD0E1C"/>
    <w:rsid w:val="00FD14E3"/>
    <w:rsid w:val="00FD3BA2"/>
    <w:rsid w:val="00FD633E"/>
    <w:rsid w:val="00FD7DF0"/>
    <w:rsid w:val="00FE0901"/>
    <w:rsid w:val="00FE17C1"/>
    <w:rsid w:val="00FE1809"/>
    <w:rsid w:val="00FF1FDF"/>
    <w:rsid w:val="00FF2313"/>
    <w:rsid w:val="00FF527B"/>
    <w:rsid w:val="00FF5281"/>
    <w:rsid w:val="00FF5443"/>
    <w:rsid w:val="00FF6272"/>
    <w:rsid w:val="00FF7530"/>
    <w:rsid w:val="00FF7A82"/>
    <w:rsid w:val="014A567F"/>
    <w:rsid w:val="066A03AC"/>
    <w:rsid w:val="0BD724CA"/>
    <w:rsid w:val="0F706068"/>
    <w:rsid w:val="148F7FC9"/>
    <w:rsid w:val="16EE7B4F"/>
    <w:rsid w:val="1B1A3E20"/>
    <w:rsid w:val="1E3E55E1"/>
    <w:rsid w:val="2D2AD08C"/>
    <w:rsid w:val="3F3B7A96"/>
    <w:rsid w:val="44140F5B"/>
    <w:rsid w:val="47B3F8E2"/>
    <w:rsid w:val="4AFB7E7E"/>
    <w:rsid w:val="4BCF4FB5"/>
    <w:rsid w:val="513F052C"/>
    <w:rsid w:val="51C027BD"/>
    <w:rsid w:val="64F3D851"/>
    <w:rsid w:val="6A0D5ECF"/>
    <w:rsid w:val="6DD0E53E"/>
    <w:rsid w:val="6F029673"/>
    <w:rsid w:val="758F7850"/>
    <w:rsid w:val="767C18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D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uiPriority="9"/>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869"/>
    <w:pPr>
      <w:spacing w:before="120" w:after="120" w:line="240" w:lineRule="auto"/>
    </w:pPr>
    <w:rPr>
      <w:rFonts w:ascii="Calibri" w:eastAsia="Times New Roman" w:hAnsi="Calibri" w:cs="Times New Roman"/>
      <w:kern w:val="18"/>
      <w:szCs w:val="20"/>
      <w:lang w:eastAsia="en-AU"/>
    </w:rPr>
  </w:style>
  <w:style w:type="paragraph" w:styleId="Heading1">
    <w:name w:val="heading 1"/>
    <w:basedOn w:val="Normal"/>
    <w:next w:val="Normal"/>
    <w:link w:val="Heading1Char"/>
    <w:qFormat/>
    <w:rsid w:val="008A1869"/>
    <w:pPr>
      <w:keepNext/>
      <w:spacing w:before="600" w:after="240" w:line="460" w:lineRule="exact"/>
      <w:outlineLvl w:val="0"/>
    </w:pPr>
    <w:rPr>
      <w:rFonts w:cs="Arial"/>
      <w:b/>
      <w:color w:val="5D779D" w:themeColor="accent3"/>
      <w:kern w:val="32"/>
      <w:sz w:val="36"/>
      <w:szCs w:val="36"/>
    </w:rPr>
  </w:style>
  <w:style w:type="paragraph" w:styleId="Heading2">
    <w:name w:val="heading 2"/>
    <w:basedOn w:val="Normal"/>
    <w:next w:val="Normal"/>
    <w:link w:val="Heading2Char"/>
    <w:qFormat/>
    <w:rsid w:val="008A1869"/>
    <w:pPr>
      <w:keepNext/>
      <w:spacing w:before="240" w:line="460" w:lineRule="exact"/>
      <w:outlineLvl w:val="1"/>
    </w:pPr>
    <w:rPr>
      <w:rFonts w:cs="Arial"/>
      <w:iCs/>
      <w:color w:val="2C384A"/>
      <w:kern w:val="32"/>
      <w:sz w:val="32"/>
      <w:szCs w:val="28"/>
    </w:rPr>
  </w:style>
  <w:style w:type="paragraph" w:styleId="Heading3">
    <w:name w:val="heading 3"/>
    <w:basedOn w:val="Normal"/>
    <w:next w:val="Normal"/>
    <w:link w:val="Heading3Char"/>
    <w:qFormat/>
    <w:rsid w:val="008A1869"/>
    <w:pPr>
      <w:keepNext/>
      <w:spacing w:before="240" w:after="0" w:line="276" w:lineRule="auto"/>
      <w:outlineLvl w:val="2"/>
    </w:pPr>
    <w:rPr>
      <w:rFonts w:cs="Arial"/>
      <w:b/>
      <w:color w:val="5D779D" w:themeColor="accent3"/>
      <w:kern w:val="32"/>
      <w:sz w:val="28"/>
      <w:szCs w:val="26"/>
    </w:rPr>
  </w:style>
  <w:style w:type="paragraph" w:styleId="Heading4">
    <w:name w:val="heading 4"/>
    <w:basedOn w:val="Normal"/>
    <w:next w:val="Normal"/>
    <w:link w:val="Heading4Char"/>
    <w:qFormat/>
    <w:rsid w:val="008A1869"/>
    <w:pPr>
      <w:keepNext/>
      <w:spacing w:before="180" w:after="0" w:line="276" w:lineRule="auto"/>
      <w:outlineLvl w:val="3"/>
    </w:pPr>
    <w:rPr>
      <w:rFonts w:cs="Arial"/>
      <w:color w:val="2C384A" w:themeColor="accent1"/>
      <w:kern w:val="32"/>
      <w:sz w:val="26"/>
      <w:szCs w:val="26"/>
    </w:rPr>
  </w:style>
  <w:style w:type="paragraph" w:styleId="Heading5">
    <w:name w:val="heading 5"/>
    <w:basedOn w:val="Normal"/>
    <w:next w:val="Normal"/>
    <w:link w:val="Heading5Char"/>
    <w:rsid w:val="008A1869"/>
    <w:pPr>
      <w:keepNext/>
      <w:spacing w:before="240" w:after="0" w:line="276" w:lineRule="auto"/>
      <w:outlineLvl w:val="4"/>
    </w:pPr>
    <w:rPr>
      <w:rFonts w:asciiTheme="majorHAnsi" w:hAnsiTheme="majorHAnsi" w:cs="Arial"/>
      <w:b/>
      <w:iCs/>
      <w:color w:val="000000" w:themeColor="text1"/>
      <w:kern w:val="32"/>
      <w:sz w:val="24"/>
      <w:szCs w:val="24"/>
    </w:rPr>
  </w:style>
  <w:style w:type="paragraph" w:styleId="Heading6">
    <w:name w:val="heading 6"/>
    <w:basedOn w:val="Normal"/>
    <w:next w:val="Normal"/>
    <w:link w:val="Heading6Char"/>
    <w:rsid w:val="008A1869"/>
    <w:pPr>
      <w:keepNext/>
      <w:spacing w:after="0" w:line="276" w:lineRule="auto"/>
      <w:outlineLvl w:val="5"/>
    </w:pPr>
    <w:rPr>
      <w:rFonts w:cs="Arial"/>
      <w:b/>
      <w:bCs/>
      <w:color w:val="000000" w:themeColor="text1"/>
      <w:kern w:val="32"/>
      <w:szCs w:val="22"/>
    </w:rPr>
  </w:style>
  <w:style w:type="paragraph" w:styleId="Heading7">
    <w:name w:val="heading 7"/>
    <w:basedOn w:val="Normal"/>
    <w:next w:val="Normal"/>
    <w:link w:val="Heading7Char"/>
    <w:uiPriority w:val="9"/>
    <w:semiHidden/>
    <w:unhideWhenUsed/>
    <w:rsid w:val="008A1869"/>
    <w:pPr>
      <w:keepNext/>
      <w:keepLines/>
      <w:spacing w:before="40"/>
      <w:outlineLvl w:val="6"/>
    </w:pPr>
    <w:rPr>
      <w:rFonts w:asciiTheme="majorHAnsi" w:eastAsiaTheme="majorEastAsia" w:hAnsiTheme="majorHAnsi" w:cstheme="majorBidi"/>
      <w:iCs/>
      <w:color w:val="161B24" w:themeColor="accent1" w:themeShade="7F"/>
    </w:rPr>
  </w:style>
  <w:style w:type="paragraph" w:styleId="Heading8">
    <w:name w:val="heading 8"/>
    <w:basedOn w:val="Normal"/>
    <w:next w:val="Normal"/>
    <w:link w:val="Heading8Char"/>
    <w:uiPriority w:val="9"/>
    <w:unhideWhenUsed/>
    <w:rsid w:val="008A186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8A1869"/>
    <w:pPr>
      <w:keepNext/>
      <w:keepLines/>
      <w:spacing w:before="40"/>
      <w:outlineLvl w:val="8"/>
    </w:pPr>
    <w:rPr>
      <w:rFonts w:asciiTheme="majorHAnsi" w:eastAsiaTheme="majorEastAsia" w:hAnsiTheme="majorHAnsi"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869"/>
    <w:rPr>
      <w:rFonts w:ascii="Calibri" w:eastAsia="Times New Roman" w:hAnsi="Calibri" w:cs="Arial"/>
      <w:b/>
      <w:color w:val="5D779D" w:themeColor="accent3"/>
      <w:kern w:val="32"/>
      <w:sz w:val="36"/>
      <w:szCs w:val="36"/>
      <w:lang w:eastAsia="en-AU"/>
    </w:rPr>
  </w:style>
  <w:style w:type="character" w:customStyle="1" w:styleId="Heading2Char">
    <w:name w:val="Heading 2 Char"/>
    <w:basedOn w:val="DefaultParagraphFont"/>
    <w:link w:val="Heading2"/>
    <w:rsid w:val="008A1869"/>
    <w:rPr>
      <w:rFonts w:ascii="Calibri" w:eastAsia="Times New Roman" w:hAnsi="Calibri" w:cs="Arial"/>
      <w:iCs/>
      <w:color w:val="2C384A"/>
      <w:kern w:val="32"/>
      <w:sz w:val="32"/>
      <w:szCs w:val="28"/>
      <w:lang w:eastAsia="en-AU"/>
    </w:rPr>
  </w:style>
  <w:style w:type="character" w:customStyle="1" w:styleId="Heading3Char">
    <w:name w:val="Heading 3 Char"/>
    <w:basedOn w:val="DefaultParagraphFont"/>
    <w:link w:val="Heading3"/>
    <w:rsid w:val="008A1869"/>
    <w:rPr>
      <w:rFonts w:ascii="Calibri" w:eastAsia="Times New Roman" w:hAnsi="Calibri" w:cs="Arial"/>
      <w:b/>
      <w:color w:val="5D779D" w:themeColor="accent3"/>
      <w:kern w:val="32"/>
      <w:sz w:val="28"/>
      <w:szCs w:val="26"/>
      <w:lang w:eastAsia="en-AU"/>
    </w:rPr>
  </w:style>
  <w:style w:type="character" w:customStyle="1" w:styleId="Heading4Char">
    <w:name w:val="Heading 4 Char"/>
    <w:basedOn w:val="DefaultParagraphFont"/>
    <w:link w:val="Heading4"/>
    <w:rsid w:val="008A1869"/>
    <w:rPr>
      <w:rFonts w:ascii="Calibri" w:eastAsia="Times New Roman" w:hAnsi="Calibri" w:cs="Arial"/>
      <w:color w:val="2C384A" w:themeColor="accent1"/>
      <w:kern w:val="32"/>
      <w:sz w:val="26"/>
      <w:szCs w:val="26"/>
      <w:lang w:eastAsia="en-AU"/>
    </w:rPr>
  </w:style>
  <w:style w:type="character" w:customStyle="1" w:styleId="Heading5Char">
    <w:name w:val="Heading 5 Char"/>
    <w:basedOn w:val="DefaultParagraphFont"/>
    <w:link w:val="Heading5"/>
    <w:rsid w:val="008A1869"/>
    <w:rPr>
      <w:rFonts w:asciiTheme="majorHAnsi" w:eastAsia="Times New Roman" w:hAnsiTheme="majorHAnsi" w:cs="Arial"/>
      <w:b/>
      <w:iCs/>
      <w:color w:val="000000" w:themeColor="text1"/>
      <w:kern w:val="32"/>
      <w:sz w:val="24"/>
      <w:szCs w:val="24"/>
      <w:lang w:eastAsia="en-AU"/>
    </w:rPr>
  </w:style>
  <w:style w:type="character" w:customStyle="1" w:styleId="Heading6Char">
    <w:name w:val="Heading 6 Char"/>
    <w:basedOn w:val="DefaultParagraphFont"/>
    <w:link w:val="Heading6"/>
    <w:rsid w:val="008A1869"/>
    <w:rPr>
      <w:rFonts w:ascii="Calibri" w:eastAsia="Times New Roman" w:hAnsi="Calibri" w:cs="Arial"/>
      <w:b/>
      <w:bCs/>
      <w:color w:val="000000" w:themeColor="text1"/>
      <w:kern w:val="32"/>
      <w:lang w:eastAsia="en-AU"/>
    </w:rPr>
  </w:style>
  <w:style w:type="paragraph" w:customStyle="1" w:styleId="ChartGraphic">
    <w:name w:val="Chart Graphic"/>
    <w:basedOn w:val="Normal"/>
    <w:next w:val="Normal"/>
    <w:rsid w:val="008A1869"/>
    <w:pPr>
      <w:keepNext/>
      <w:spacing w:before="0" w:after="0"/>
      <w:jc w:val="center"/>
    </w:pPr>
    <w:rPr>
      <w:rFonts w:ascii="Calibri Light" w:hAnsi="Calibri Light"/>
      <w:color w:val="004A7F"/>
      <w:sz w:val="20"/>
    </w:rPr>
  </w:style>
  <w:style w:type="paragraph" w:customStyle="1" w:styleId="AlphaParagraph">
    <w:name w:val="Alpha Paragraph"/>
    <w:basedOn w:val="Normal"/>
    <w:rsid w:val="000E0B74"/>
    <w:pPr>
      <w:numPr>
        <w:ilvl w:val="1"/>
        <w:numId w:val="10"/>
      </w:numPr>
      <w:spacing w:before="0"/>
    </w:pPr>
  </w:style>
  <w:style w:type="character" w:customStyle="1" w:styleId="DashChar">
    <w:name w:val="Dash Char"/>
    <w:basedOn w:val="DefaultParagraphFont"/>
    <w:link w:val="Dash"/>
    <w:locked/>
    <w:rsid w:val="008A1869"/>
    <w:rPr>
      <w:rFonts w:ascii="Calibri" w:eastAsia="Times New Roman" w:hAnsi="Calibri" w:cs="Times New Roman"/>
      <w:kern w:val="18"/>
      <w:szCs w:val="20"/>
      <w:lang w:eastAsia="en-AU"/>
    </w:rPr>
  </w:style>
  <w:style w:type="character" w:customStyle="1" w:styleId="DoubleDotChar">
    <w:name w:val="Double Dot Char"/>
    <w:basedOn w:val="DefaultParagraphFont"/>
    <w:link w:val="DoubleDot"/>
    <w:locked/>
    <w:rsid w:val="008A1869"/>
    <w:rPr>
      <w:rFonts w:ascii="Calibri" w:eastAsia="Times New Roman" w:hAnsi="Calibri" w:cs="Times New Roman"/>
      <w:kern w:val="18"/>
      <w:szCs w:val="20"/>
      <w:lang w:eastAsia="en-AU"/>
    </w:rPr>
  </w:style>
  <w:style w:type="character" w:customStyle="1" w:styleId="BulletChar">
    <w:name w:val="Bullet Char"/>
    <w:basedOn w:val="DefaultParagraphFont"/>
    <w:link w:val="Bullet"/>
    <w:locked/>
    <w:rsid w:val="008A1869"/>
    <w:rPr>
      <w:rFonts w:ascii="Calibri" w:eastAsia="Times New Roman" w:hAnsi="Calibri" w:cs="Times New Roman"/>
      <w:kern w:val="18"/>
      <w:szCs w:val="20"/>
      <w:lang w:eastAsia="en-AU"/>
    </w:rPr>
  </w:style>
  <w:style w:type="paragraph" w:customStyle="1" w:styleId="BoxHeadingNumbered">
    <w:name w:val="Box Heading Numbered"/>
    <w:basedOn w:val="BoxHeading"/>
    <w:next w:val="BoxText"/>
    <w:qFormat/>
    <w:rsid w:val="008A1869"/>
    <w:pPr>
      <w:framePr w:hSpace="181" w:wrap="around" w:vAnchor="text" w:hAnchor="margin" w:y="143"/>
      <w:numPr>
        <w:ilvl w:val="6"/>
        <w:numId w:val="49"/>
      </w:numPr>
    </w:pPr>
  </w:style>
  <w:style w:type="paragraph" w:customStyle="1" w:styleId="BoxText">
    <w:name w:val="Box Text"/>
    <w:basedOn w:val="Normal"/>
    <w:link w:val="BoxTextChar"/>
    <w:rsid w:val="008A1869"/>
    <w:pPr>
      <w:spacing w:before="60" w:after="60"/>
    </w:pPr>
  </w:style>
  <w:style w:type="paragraph" w:customStyle="1" w:styleId="Bullet">
    <w:name w:val="Bullet"/>
    <w:basedOn w:val="Normal"/>
    <w:link w:val="BulletChar"/>
    <w:qFormat/>
    <w:rsid w:val="008A1869"/>
    <w:pPr>
      <w:numPr>
        <w:numId w:val="19"/>
      </w:numPr>
      <w:spacing w:before="0"/>
    </w:pPr>
  </w:style>
  <w:style w:type="paragraph" w:customStyle="1" w:styleId="ChartandTableFootnoteAlpha">
    <w:name w:val="Chart and Table Footnote Alpha"/>
    <w:basedOn w:val="ChartorTableNote"/>
    <w:uiPriority w:val="2"/>
    <w:rsid w:val="00876037"/>
    <w:pPr>
      <w:numPr>
        <w:numId w:val="36"/>
      </w:numPr>
      <w:contextualSpacing/>
    </w:pPr>
    <w:rPr>
      <w:szCs w:val="16"/>
    </w:rPr>
  </w:style>
  <w:style w:type="paragraph" w:customStyle="1" w:styleId="ChartMainHeading">
    <w:name w:val="Chart Main Heading"/>
    <w:basedOn w:val="Normal"/>
    <w:next w:val="ChartGraphic"/>
    <w:qFormat/>
    <w:rsid w:val="008A1869"/>
    <w:pPr>
      <w:keepNext/>
      <w:numPr>
        <w:ilvl w:val="4"/>
        <w:numId w:val="49"/>
      </w:numPr>
      <w:pBdr>
        <w:top w:val="single" w:sz="12" w:space="3" w:color="2C384A" w:themeColor="accent1"/>
      </w:pBdr>
      <w:spacing w:before="360"/>
      <w:outlineLvl w:val="3"/>
    </w:pPr>
    <w:rPr>
      <w:b/>
      <w:color w:val="2C384A" w:themeColor="accent1"/>
      <w:kern w:val="16"/>
      <w:sz w:val="24"/>
    </w:rPr>
  </w:style>
  <w:style w:type="paragraph" w:customStyle="1" w:styleId="ChartorTableNote">
    <w:name w:val="Chart or Table Note"/>
    <w:next w:val="Normal"/>
    <w:rsid w:val="00DB7097"/>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A03796"/>
    <w:pPr>
      <w:ind w:right="284"/>
    </w:pPr>
    <w:rPr>
      <w:bCs/>
    </w:rPr>
  </w:style>
  <w:style w:type="paragraph" w:customStyle="1" w:styleId="ReportDate">
    <w:name w:val="Report Date"/>
    <w:basedOn w:val="Normal"/>
    <w:link w:val="ReportDateChar"/>
    <w:rsid w:val="008A1869"/>
    <w:pPr>
      <w:keepNext/>
      <w:spacing w:before="240" w:after="360"/>
      <w:ind w:left="3119"/>
    </w:pPr>
    <w:rPr>
      <w:rFonts w:ascii="Calibri Light" w:hAnsi="Calibri Light"/>
      <w:color w:val="FFFFFF" w:themeColor="background1"/>
      <w:sz w:val="32"/>
    </w:rPr>
  </w:style>
  <w:style w:type="paragraph" w:customStyle="1" w:styleId="Dash">
    <w:name w:val="Dash"/>
    <w:basedOn w:val="Normal"/>
    <w:link w:val="DashChar"/>
    <w:qFormat/>
    <w:rsid w:val="008A1869"/>
    <w:pPr>
      <w:numPr>
        <w:ilvl w:val="1"/>
        <w:numId w:val="19"/>
      </w:numPr>
      <w:spacing w:before="0"/>
    </w:pPr>
  </w:style>
  <w:style w:type="paragraph" w:customStyle="1" w:styleId="DoubleDot">
    <w:name w:val="Double Dot"/>
    <w:basedOn w:val="Normal"/>
    <w:link w:val="DoubleDotChar"/>
    <w:qFormat/>
    <w:rsid w:val="008A1869"/>
    <w:pPr>
      <w:numPr>
        <w:ilvl w:val="2"/>
        <w:numId w:val="19"/>
      </w:numPr>
      <w:spacing w:before="0"/>
    </w:pPr>
  </w:style>
  <w:style w:type="paragraph" w:customStyle="1" w:styleId="TableMainHeading">
    <w:name w:val="Table Main Heading"/>
    <w:basedOn w:val="ChartMainHeading"/>
    <w:qFormat/>
    <w:rsid w:val="008A1869"/>
    <w:pPr>
      <w:numPr>
        <w:ilvl w:val="5"/>
      </w:numPr>
    </w:pPr>
  </w:style>
  <w:style w:type="paragraph" w:customStyle="1" w:styleId="FooterEven">
    <w:name w:val="Footer Even"/>
    <w:basedOn w:val="Footer"/>
    <w:uiPriority w:val="99"/>
    <w:rsid w:val="00103F3C"/>
    <w:pPr>
      <w:keepNext/>
      <w:tabs>
        <w:tab w:val="right" w:pos="9072"/>
      </w:tabs>
    </w:pPr>
    <w:rPr>
      <w:noProof/>
      <w:color w:val="2C384A" w:themeColor="accent1"/>
    </w:rPr>
  </w:style>
  <w:style w:type="paragraph" w:customStyle="1" w:styleId="FooterOdd">
    <w:name w:val="Footer Odd"/>
    <w:basedOn w:val="Footer"/>
    <w:uiPriority w:val="99"/>
    <w:rsid w:val="00891061"/>
    <w:pPr>
      <w:keepNext/>
      <w:tabs>
        <w:tab w:val="right" w:pos="9072"/>
      </w:tabs>
      <w:jc w:val="right"/>
    </w:pPr>
    <w:rPr>
      <w:color w:val="2C384A" w:themeColor="accent1"/>
    </w:rPr>
  </w:style>
  <w:style w:type="character" w:styleId="Hyperlink">
    <w:name w:val="Hyperlink"/>
    <w:uiPriority w:val="99"/>
    <w:rsid w:val="008A1869"/>
    <w:rPr>
      <w:color w:val="5D779D" w:themeColor="accent3"/>
      <w:u w:val="single"/>
    </w:rPr>
  </w:style>
  <w:style w:type="paragraph" w:customStyle="1" w:styleId="OutlineNumbered1">
    <w:name w:val="Outline Numbered 1"/>
    <w:basedOn w:val="Normal"/>
    <w:link w:val="OutlineNumbered1Char"/>
    <w:rsid w:val="008A1869"/>
    <w:pPr>
      <w:keepNext/>
      <w:numPr>
        <w:numId w:val="48"/>
      </w:numPr>
      <w:tabs>
        <w:tab w:val="clear" w:pos="472"/>
      </w:tabs>
      <w:spacing w:before="0" w:after="0"/>
      <w:ind w:left="284" w:hanging="284"/>
    </w:pPr>
    <w:rPr>
      <w:rFonts w:asciiTheme="minorHAnsi" w:hAnsiTheme="minorHAnsi"/>
      <w:kern w:val="16"/>
    </w:rPr>
  </w:style>
  <w:style w:type="paragraph" w:customStyle="1" w:styleId="OutlineNumbered2">
    <w:name w:val="Outline Numbered 2"/>
    <w:basedOn w:val="Normal"/>
    <w:link w:val="OutlineNumbered2Char"/>
    <w:rsid w:val="008A1869"/>
    <w:pPr>
      <w:keepNext/>
      <w:numPr>
        <w:ilvl w:val="1"/>
        <w:numId w:val="48"/>
      </w:numPr>
      <w:spacing w:before="0" w:after="0"/>
      <w:jc w:val="center"/>
    </w:pPr>
    <w:rPr>
      <w:rFonts w:ascii="Calibri Light" w:hAnsi="Calibri Light"/>
      <w:color w:val="004A7F"/>
      <w:kern w:val="16"/>
      <w:sz w:val="20"/>
    </w:rPr>
  </w:style>
  <w:style w:type="paragraph" w:customStyle="1" w:styleId="OutlineNumbered3">
    <w:name w:val="Outline Numbered 3"/>
    <w:basedOn w:val="Normal"/>
    <w:link w:val="OutlineNumbered3Char"/>
    <w:rsid w:val="008A1869"/>
    <w:pPr>
      <w:keepNext/>
      <w:numPr>
        <w:ilvl w:val="2"/>
        <w:numId w:val="48"/>
      </w:numPr>
      <w:spacing w:before="0" w:after="0"/>
      <w:jc w:val="center"/>
    </w:pPr>
    <w:rPr>
      <w:rFonts w:ascii="Calibri Light" w:hAnsi="Calibri Light"/>
      <w:color w:val="004A7F"/>
      <w:kern w:val="16"/>
      <w:sz w:val="20"/>
    </w:rPr>
  </w:style>
  <w:style w:type="paragraph" w:customStyle="1" w:styleId="SingleParagraph">
    <w:name w:val="Single Paragraph"/>
    <w:basedOn w:val="Normal"/>
    <w:link w:val="SingleParagraphChar"/>
    <w:semiHidden/>
    <w:rsid w:val="000E0B74"/>
    <w:pPr>
      <w:spacing w:before="0" w:after="0"/>
    </w:pPr>
  </w:style>
  <w:style w:type="paragraph" w:customStyle="1" w:styleId="TableSecondHeading">
    <w:name w:val="Table Second Heading"/>
    <w:basedOn w:val="Normal"/>
    <w:next w:val="Normal"/>
    <w:uiPriority w:val="1"/>
    <w:rsid w:val="00DD7E97"/>
    <w:pPr>
      <w:keepNext/>
      <w:spacing w:before="0"/>
    </w:pPr>
    <w:rPr>
      <w:b/>
      <w:color w:val="5D779D" w:themeColor="accent3"/>
    </w:rPr>
  </w:style>
  <w:style w:type="paragraph" w:customStyle="1" w:styleId="TableColumnHeadingCentred">
    <w:name w:val="Table Column Heading Centred"/>
    <w:basedOn w:val="TableTextLeft"/>
    <w:uiPriority w:val="1"/>
    <w:rsid w:val="00A7236C"/>
    <w:pPr>
      <w:jc w:val="center"/>
    </w:pPr>
    <w:rPr>
      <w:b/>
      <w:color w:val="2C384A" w:themeColor="accent1"/>
      <w:sz w:val="20"/>
    </w:rPr>
  </w:style>
  <w:style w:type="paragraph" w:customStyle="1" w:styleId="TableColumnHeadingLeft">
    <w:name w:val="Table Column Heading Left"/>
    <w:basedOn w:val="TableTextLeft"/>
    <w:uiPriority w:val="1"/>
    <w:rsid w:val="001F1DAA"/>
    <w:rPr>
      <w:b/>
      <w:color w:val="2C384A" w:themeColor="accent1"/>
      <w:sz w:val="20"/>
    </w:rPr>
  </w:style>
  <w:style w:type="paragraph" w:customStyle="1" w:styleId="TableColumnHeadingRight">
    <w:name w:val="Table Column Heading Right"/>
    <w:basedOn w:val="TableTextLeft"/>
    <w:uiPriority w:val="1"/>
    <w:rsid w:val="00A7236C"/>
    <w:pPr>
      <w:jc w:val="right"/>
    </w:pPr>
    <w:rPr>
      <w:b/>
      <w:color w:val="2C384A" w:themeColor="accent1"/>
      <w:sz w:val="20"/>
    </w:rPr>
  </w:style>
  <w:style w:type="table" w:styleId="TableGrid">
    <w:name w:val="Table Grid"/>
    <w:basedOn w:val="TableNormal"/>
    <w:uiPriority w:val="59"/>
    <w:rsid w:val="008A18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ered">
    <w:name w:val="Table Text Centered"/>
    <w:basedOn w:val="TableTextRight"/>
    <w:uiPriority w:val="1"/>
    <w:rsid w:val="001972D2"/>
    <w:pPr>
      <w:jc w:val="center"/>
    </w:pPr>
  </w:style>
  <w:style w:type="paragraph" w:customStyle="1" w:styleId="TableTextLeft">
    <w:name w:val="Table Text Left"/>
    <w:basedOn w:val="TableTextRight"/>
    <w:uiPriority w:val="1"/>
    <w:rsid w:val="000E0B74"/>
    <w:pPr>
      <w:jc w:val="left"/>
    </w:pPr>
  </w:style>
  <w:style w:type="paragraph" w:customStyle="1" w:styleId="TableTextRight">
    <w:name w:val="Table Text Right"/>
    <w:basedOn w:val="Normal"/>
    <w:uiPriority w:val="1"/>
    <w:rsid w:val="000E0B74"/>
    <w:pPr>
      <w:spacing w:before="40" w:after="40"/>
      <w:jc w:val="right"/>
    </w:pPr>
    <w:rPr>
      <w:color w:val="000000"/>
      <w:sz w:val="18"/>
    </w:rPr>
  </w:style>
  <w:style w:type="paragraph" w:styleId="TOC1">
    <w:name w:val="toc 1"/>
    <w:basedOn w:val="Normal"/>
    <w:next w:val="Normal"/>
    <w:uiPriority w:val="39"/>
    <w:rsid w:val="008A1869"/>
    <w:pPr>
      <w:keepNext/>
      <w:tabs>
        <w:tab w:val="right" w:leader="dot" w:pos="9072"/>
      </w:tabs>
      <w:spacing w:before="180" w:after="0"/>
      <w:ind w:right="-2"/>
    </w:pPr>
    <w:rPr>
      <w:rFonts w:ascii="Calibri Light" w:hAnsi="Calibri Light"/>
      <w:b/>
      <w:noProof/>
      <w:color w:val="2C384A" w:themeColor="accent1"/>
      <w:szCs w:val="22"/>
    </w:rPr>
  </w:style>
  <w:style w:type="paragraph" w:styleId="TOC2">
    <w:name w:val="toc 2"/>
    <w:basedOn w:val="Normal"/>
    <w:next w:val="Normal"/>
    <w:uiPriority w:val="39"/>
    <w:rsid w:val="008A1869"/>
    <w:pPr>
      <w:keepNext/>
      <w:tabs>
        <w:tab w:val="right" w:leader="dot" w:pos="9072"/>
      </w:tabs>
      <w:spacing w:before="40" w:after="20"/>
      <w:ind w:right="-2"/>
    </w:pPr>
    <w:rPr>
      <w:rFonts w:ascii="Calibri Light" w:hAnsi="Calibri Light"/>
      <w:noProof/>
      <w:color w:val="5D779D" w:themeColor="accent3"/>
    </w:rPr>
  </w:style>
  <w:style w:type="paragraph" w:styleId="TOC3">
    <w:name w:val="toc 3"/>
    <w:basedOn w:val="Normal"/>
    <w:next w:val="Normal"/>
    <w:autoRedefine/>
    <w:uiPriority w:val="39"/>
    <w:unhideWhenUsed/>
    <w:rsid w:val="008A1869"/>
    <w:pPr>
      <w:spacing w:after="100"/>
      <w:ind w:left="440"/>
    </w:p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style>
  <w:style w:type="numbering" w:customStyle="1" w:styleId="BoxBulletedList">
    <w:name w:val="Box Bulleted List"/>
    <w:uiPriority w:val="99"/>
    <w:rsid w:val="008A1869"/>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qFormat/>
    <w:rsid w:val="008A1869"/>
    <w:pPr>
      <w:numPr>
        <w:numId w:val="49"/>
      </w:numPr>
    </w:pPr>
  </w:style>
  <w:style w:type="character" w:customStyle="1" w:styleId="SingleParagraphChar">
    <w:name w:val="Single Paragraph Char"/>
    <w:basedOn w:val="DefaultParagraphFont"/>
    <w:link w:val="SingleParagraph"/>
    <w:semiHidden/>
    <w:rsid w:val="00092257"/>
    <w:rPr>
      <w:rFonts w:ascii="Calibri Light" w:eastAsia="Times New Roman" w:hAnsi="Calibri Light" w:cs="Times New Roman"/>
      <w:szCs w:val="20"/>
      <w:lang w:eastAsia="en-AU"/>
    </w:rPr>
  </w:style>
  <w:style w:type="paragraph" w:customStyle="1" w:styleId="Heading2Numbered">
    <w:name w:val="Heading 2 Numbered"/>
    <w:basedOn w:val="Heading2"/>
    <w:next w:val="Normal"/>
    <w:qFormat/>
    <w:rsid w:val="008A1869"/>
    <w:pPr>
      <w:numPr>
        <w:ilvl w:val="1"/>
        <w:numId w:val="49"/>
      </w:numPr>
    </w:pPr>
  </w:style>
  <w:style w:type="paragraph" w:customStyle="1" w:styleId="Heading3Numbered">
    <w:name w:val="Heading 3 Numbered"/>
    <w:basedOn w:val="Heading3"/>
    <w:next w:val="Normal"/>
    <w:qFormat/>
    <w:rsid w:val="008A1869"/>
    <w:pPr>
      <w:numPr>
        <w:ilvl w:val="2"/>
        <w:numId w:val="49"/>
      </w:numPr>
    </w:pPr>
  </w:style>
  <w:style w:type="paragraph" w:styleId="Title">
    <w:name w:val="Title"/>
    <w:basedOn w:val="Normal"/>
    <w:next w:val="Normal"/>
    <w:link w:val="TitleChar"/>
    <w:uiPriority w:val="10"/>
    <w:rsid w:val="003C2076"/>
    <w:pPr>
      <w:tabs>
        <w:tab w:val="left" w:pos="6379"/>
      </w:tabs>
      <w:spacing w:before="1800" w:after="240" w:line="600" w:lineRule="exact"/>
      <w:ind w:right="1134"/>
      <w:contextualSpacing/>
    </w:pPr>
    <w:rPr>
      <w:rFonts w:asciiTheme="majorHAnsi" w:hAnsiTheme="majorHAnsi" w:cstheme="majorHAnsi"/>
      <w:b/>
      <w:color w:val="2C384A" w:themeColor="accent1"/>
      <w:spacing w:val="5"/>
      <w:kern w:val="28"/>
      <w:sz w:val="56"/>
      <w:szCs w:val="52"/>
    </w:rPr>
  </w:style>
  <w:style w:type="character" w:customStyle="1" w:styleId="TitleChar">
    <w:name w:val="Title Char"/>
    <w:basedOn w:val="DefaultParagraphFont"/>
    <w:link w:val="Title"/>
    <w:uiPriority w:val="10"/>
    <w:rsid w:val="003C2076"/>
    <w:rPr>
      <w:rFonts w:asciiTheme="majorHAnsi" w:eastAsia="Times New Roman" w:hAnsiTheme="majorHAnsi" w:cstheme="majorHAnsi"/>
      <w:b/>
      <w:color w:val="2C384A" w:themeColor="accent1"/>
      <w:spacing w:val="5"/>
      <w:kern w:val="28"/>
      <w:sz w:val="56"/>
      <w:szCs w:val="52"/>
      <w:lang w:eastAsia="en-AU"/>
    </w:rPr>
  </w:style>
  <w:style w:type="paragraph" w:styleId="Subtitle">
    <w:name w:val="Subtitle"/>
    <w:aliases w:val="Theme subtitle"/>
    <w:basedOn w:val="Normal"/>
    <w:next w:val="Normal"/>
    <w:link w:val="SubtitleChar"/>
    <w:uiPriority w:val="11"/>
    <w:rsid w:val="008A1869"/>
    <w:pPr>
      <w:numPr>
        <w:ilvl w:val="1"/>
      </w:numPr>
      <w:spacing w:before="6720"/>
      <w:ind w:left="3119"/>
    </w:pPr>
    <w:rPr>
      <w:rFonts w:ascii="Calibri Light" w:eastAsiaTheme="majorEastAsia" w:hAnsi="Calibri Light" w:cstheme="majorBidi"/>
      <w:iCs/>
      <w:color w:val="FFFFFF" w:themeColor="background1"/>
      <w:sz w:val="44"/>
      <w:szCs w:val="44"/>
    </w:rPr>
  </w:style>
  <w:style w:type="character" w:customStyle="1" w:styleId="SubtitleChar">
    <w:name w:val="Subtitle Char"/>
    <w:aliases w:val="Theme subtitle Char"/>
    <w:basedOn w:val="DefaultParagraphFont"/>
    <w:link w:val="Subtitle"/>
    <w:uiPriority w:val="11"/>
    <w:rsid w:val="008A1869"/>
    <w:rPr>
      <w:rFonts w:ascii="Calibri Light" w:eastAsiaTheme="majorEastAsia" w:hAnsi="Calibri Light" w:cstheme="majorBidi"/>
      <w:iCs/>
      <w:color w:val="FFFFFF" w:themeColor="background1"/>
      <w:kern w:val="18"/>
      <w:sz w:val="44"/>
      <w:szCs w:val="44"/>
      <w:lang w:eastAsia="en-AU"/>
    </w:rPr>
  </w:style>
  <w:style w:type="character" w:styleId="SubtleEmphasis">
    <w:name w:val="Subtle Emphasis"/>
    <w:basedOn w:val="DefaultParagraphFont"/>
    <w:uiPriority w:val="19"/>
    <w:rsid w:val="008A1869"/>
    <w:rPr>
      <w:i/>
      <w:iCs/>
      <w:color w:val="404040" w:themeColor="text1" w:themeTint="BF"/>
    </w:rPr>
  </w:style>
  <w:style w:type="paragraph" w:styleId="Footer">
    <w:name w:val="footer"/>
    <w:basedOn w:val="Normal"/>
    <w:link w:val="FooterChar"/>
    <w:uiPriority w:val="99"/>
    <w:rsid w:val="008A1869"/>
    <w:pPr>
      <w:tabs>
        <w:tab w:val="right" w:pos="11340"/>
      </w:tabs>
    </w:pPr>
    <w:rPr>
      <w:sz w:val="20"/>
    </w:rPr>
  </w:style>
  <w:style w:type="character" w:customStyle="1" w:styleId="FooterChar">
    <w:name w:val="Footer Char"/>
    <w:basedOn w:val="DefaultParagraphFont"/>
    <w:link w:val="Footer"/>
    <w:uiPriority w:val="99"/>
    <w:rsid w:val="008A1869"/>
    <w:rPr>
      <w:rFonts w:ascii="Calibri" w:eastAsia="Times New Roman" w:hAnsi="Calibri" w:cs="Times New Roman"/>
      <w:kern w:val="18"/>
      <w:sz w:val="20"/>
      <w:szCs w:val="20"/>
      <w:lang w:eastAsia="en-AU"/>
    </w:rPr>
  </w:style>
  <w:style w:type="paragraph" w:styleId="Header">
    <w:name w:val="header"/>
    <w:basedOn w:val="Normal"/>
    <w:link w:val="HeaderChar"/>
    <w:uiPriority w:val="99"/>
    <w:unhideWhenUsed/>
    <w:rsid w:val="008A1869"/>
    <w:pPr>
      <w:tabs>
        <w:tab w:val="center" w:pos="4513"/>
        <w:tab w:val="right" w:pos="9026"/>
      </w:tabs>
      <w:spacing w:after="0"/>
      <w:jc w:val="right"/>
    </w:pPr>
    <w:rPr>
      <w:sz w:val="20"/>
    </w:rPr>
  </w:style>
  <w:style w:type="character" w:customStyle="1" w:styleId="HeaderChar">
    <w:name w:val="Header Char"/>
    <w:basedOn w:val="DefaultParagraphFont"/>
    <w:link w:val="Header"/>
    <w:uiPriority w:val="99"/>
    <w:rsid w:val="008A1869"/>
    <w:rPr>
      <w:rFonts w:ascii="Calibri" w:eastAsia="Times New Roman" w:hAnsi="Calibri" w:cs="Times New Roman"/>
      <w:kern w:val="18"/>
      <w:sz w:val="20"/>
      <w:szCs w:val="20"/>
      <w:lang w:eastAsia="en-AU"/>
    </w:rPr>
  </w:style>
  <w:style w:type="character" w:styleId="PlaceholderText">
    <w:name w:val="Placeholder Text"/>
    <w:basedOn w:val="DefaultParagraphFont"/>
    <w:uiPriority w:val="99"/>
    <w:semiHidden/>
    <w:rsid w:val="008A1869"/>
    <w:rPr>
      <w:color w:val="808080"/>
    </w:rPr>
  </w:style>
  <w:style w:type="paragraph" w:customStyle="1" w:styleId="AppendixHeading">
    <w:name w:val="Appendix Heading"/>
    <w:basedOn w:val="Heading1"/>
    <w:next w:val="Normal"/>
    <w:rsid w:val="00F045E0"/>
  </w:style>
  <w:style w:type="paragraph" w:customStyle="1" w:styleId="HeadingBase">
    <w:name w:val="Heading Base"/>
    <w:semiHidden/>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8A1869"/>
    <w:rPr>
      <w:rFonts w:ascii="Calibri Light" w:eastAsia="Times New Roman" w:hAnsi="Calibri Light" w:cs="Times New Roman"/>
      <w:color w:val="FFFFFF" w:themeColor="background1"/>
      <w:kern w:val="18"/>
      <w:sz w:val="32"/>
      <w:szCs w:val="20"/>
      <w:lang w:eastAsia="en-AU"/>
    </w:rPr>
  </w:style>
  <w:style w:type="paragraph" w:customStyle="1" w:styleId="NotesHeading">
    <w:name w:val="Notes Heading"/>
    <w:basedOn w:val="Normal"/>
    <w:uiPriority w:val="10"/>
    <w:semiHidden/>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link w:val="ListParagraphChar"/>
    <w:uiPriority w:val="34"/>
    <w:qFormat/>
    <w:rsid w:val="008A1869"/>
    <w:pPr>
      <w:ind w:left="720"/>
      <w:contextualSpacing/>
    </w:pPr>
  </w:style>
  <w:style w:type="paragraph" w:customStyle="1" w:styleId="TableTextIndented">
    <w:name w:val="Table Text Indented"/>
    <w:basedOn w:val="TableTextLeft"/>
    <w:uiPriority w:val="1"/>
    <w:rsid w:val="008E6292"/>
    <w:pPr>
      <w:ind w:left="284"/>
    </w:pPr>
  </w:style>
  <w:style w:type="paragraph" w:customStyle="1" w:styleId="TableHeadingContinued">
    <w:name w:val="Table Heading Continued"/>
    <w:basedOn w:val="TableMainHeading"/>
    <w:next w:val="TableGraphic"/>
    <w:uiPriority w:val="1"/>
    <w:rsid w:val="00195E07"/>
  </w:style>
  <w:style w:type="paragraph" w:customStyle="1" w:styleId="TableGraphic">
    <w:name w:val="Table Graphic"/>
    <w:basedOn w:val="HeadingBase"/>
    <w:next w:val="Normal"/>
    <w:uiPriority w:val="1"/>
    <w:rsid w:val="008E6292"/>
    <w:pPr>
      <w:spacing w:after="0"/>
    </w:pPr>
  </w:style>
  <w:style w:type="paragraph" w:customStyle="1" w:styleId="HeaderEven">
    <w:name w:val="Header Even"/>
    <w:basedOn w:val="Header"/>
    <w:uiPriority w:val="99"/>
    <w:qFormat/>
    <w:rsid w:val="00F60198"/>
    <w:pPr>
      <w:jc w:val="left"/>
    </w:pPr>
    <w:rPr>
      <w:color w:val="002C47"/>
    </w:rPr>
  </w:style>
  <w:style w:type="paragraph" w:customStyle="1" w:styleId="HeaderOdd">
    <w:name w:val="Header Odd"/>
    <w:basedOn w:val="Header"/>
    <w:uiPriority w:val="99"/>
    <w:qFormat/>
    <w:rsid w:val="00F60198"/>
    <w:rPr>
      <w:color w:val="002C47"/>
    </w:rPr>
  </w:style>
  <w:style w:type="paragraph" w:styleId="FootnoteText">
    <w:name w:val="footnote text"/>
    <w:basedOn w:val="Normal"/>
    <w:link w:val="FootnoteTextChar"/>
    <w:uiPriority w:val="99"/>
    <w:rsid w:val="008A1869"/>
    <w:pPr>
      <w:spacing w:before="0" w:after="60"/>
      <w:ind w:left="425" w:hanging="425"/>
    </w:pPr>
    <w:rPr>
      <w:sz w:val="20"/>
    </w:rPr>
  </w:style>
  <w:style w:type="character" w:customStyle="1" w:styleId="FootnoteTextChar">
    <w:name w:val="Footnote Text Char"/>
    <w:basedOn w:val="DefaultParagraphFont"/>
    <w:link w:val="FootnoteText"/>
    <w:uiPriority w:val="99"/>
    <w:rsid w:val="008A1869"/>
    <w:rPr>
      <w:rFonts w:ascii="Calibri" w:eastAsia="Times New Roman" w:hAnsi="Calibri" w:cs="Times New Roman"/>
      <w:kern w:val="18"/>
      <w:sz w:val="20"/>
      <w:szCs w:val="20"/>
      <w:lang w:eastAsia="en-AU"/>
    </w:rPr>
  </w:style>
  <w:style w:type="character" w:styleId="FootnoteReference">
    <w:name w:val="footnote reference"/>
    <w:basedOn w:val="DefaultParagraphFont"/>
    <w:uiPriority w:val="99"/>
    <w:rsid w:val="008A1869"/>
    <w:rPr>
      <w:vertAlign w:val="superscript"/>
    </w:rPr>
  </w:style>
  <w:style w:type="paragraph" w:styleId="BalloonText">
    <w:name w:val="Balloon Text"/>
    <w:basedOn w:val="Normal"/>
    <w:link w:val="BalloonTextChar"/>
    <w:semiHidden/>
    <w:rsid w:val="008A1869"/>
    <w:rPr>
      <w:rFonts w:ascii="Tahoma" w:hAnsi="Tahoma" w:cs="Tahoma"/>
      <w:sz w:val="16"/>
      <w:szCs w:val="16"/>
    </w:rPr>
  </w:style>
  <w:style w:type="character" w:customStyle="1" w:styleId="BalloonTextChar">
    <w:name w:val="Balloon Text Char"/>
    <w:basedOn w:val="DefaultParagraphFont"/>
    <w:link w:val="BalloonText"/>
    <w:semiHidden/>
    <w:rsid w:val="008A1869"/>
    <w:rPr>
      <w:rFonts w:ascii="Tahoma" w:eastAsia="Times New Roman" w:hAnsi="Tahoma" w:cs="Tahoma"/>
      <w:kern w:val="18"/>
      <w:sz w:val="16"/>
      <w:szCs w:val="16"/>
      <w:lang w:eastAsia="en-AU"/>
    </w:rPr>
  </w:style>
  <w:style w:type="character" w:customStyle="1" w:styleId="BoxTextChar">
    <w:name w:val="Box Text Char"/>
    <w:basedOn w:val="DefaultParagraphFont"/>
    <w:link w:val="BoxText"/>
    <w:locked/>
    <w:rsid w:val="008A1869"/>
    <w:rPr>
      <w:rFonts w:ascii="Calibri" w:eastAsia="Times New Roman" w:hAnsi="Calibri" w:cs="Times New Roman"/>
      <w:kern w:val="18"/>
      <w:szCs w:val="20"/>
      <w:lang w:eastAsia="en-AU"/>
    </w:rPr>
  </w:style>
  <w:style w:type="paragraph" w:customStyle="1" w:styleId="Boxbullet">
    <w:name w:val="Box bullet"/>
    <w:basedOn w:val="Bullet"/>
    <w:qFormat/>
    <w:rsid w:val="008A1869"/>
    <w:pPr>
      <w:spacing w:after="60"/>
    </w:pPr>
    <w:rPr>
      <w:color w:val="0D0D0D" w:themeColor="text1" w:themeTint="F2"/>
    </w:rPr>
  </w:style>
  <w:style w:type="paragraph" w:customStyle="1" w:styleId="Boxdash">
    <w:name w:val="Box dash"/>
    <w:basedOn w:val="Dash"/>
    <w:rsid w:val="008A1869"/>
    <w:pPr>
      <w:numPr>
        <w:ilvl w:val="0"/>
        <w:numId w:val="0"/>
      </w:numPr>
      <w:spacing w:after="60" w:line="276" w:lineRule="auto"/>
    </w:pPr>
    <w:rPr>
      <w:rFonts w:eastAsiaTheme="minorHAnsi"/>
      <w:color w:val="0D0D0D" w:themeColor="text1" w:themeTint="F2"/>
    </w:rPr>
  </w:style>
  <w:style w:type="paragraph" w:customStyle="1" w:styleId="Boxdoubledot">
    <w:name w:val="Box double dot"/>
    <w:basedOn w:val="DoubleDot"/>
    <w:rsid w:val="008A1869"/>
    <w:pPr>
      <w:numPr>
        <w:ilvl w:val="0"/>
        <w:numId w:val="0"/>
      </w:numPr>
      <w:spacing w:after="60" w:line="276" w:lineRule="auto"/>
    </w:pPr>
    <w:rPr>
      <w:rFonts w:eastAsiaTheme="minorHAnsi"/>
      <w:color w:val="0D0D0D" w:themeColor="text1" w:themeTint="F2"/>
    </w:rPr>
  </w:style>
  <w:style w:type="paragraph" w:customStyle="1" w:styleId="Instructions">
    <w:name w:val="Instructions"/>
    <w:basedOn w:val="Normal"/>
    <w:uiPriority w:val="1"/>
    <w:semiHidden/>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8A1869"/>
    <w:pPr>
      <w:spacing w:before="60" w:after="60" w:line="240" w:lineRule="auto"/>
      <w:jc w:val="center"/>
    </w:pPr>
    <w:rPr>
      <w:rFonts w:ascii="Calibri" w:eastAsia="Times New Roman" w:hAnsi="Calibri" w:cs="Calibri"/>
      <w:b/>
      <w:noProof/>
      <w:color w:val="FF0000"/>
      <w:sz w:val="24"/>
      <w:szCs w:val="20"/>
      <w:lang w:eastAsia="en-AU"/>
    </w:rPr>
  </w:style>
  <w:style w:type="character" w:customStyle="1" w:styleId="SecurityClassificationHeaderChar">
    <w:name w:val="Security Classification Header Char"/>
    <w:basedOn w:val="DefaultParagraphFont"/>
    <w:link w:val="SecurityClassificationHeader"/>
    <w:rsid w:val="008A1869"/>
    <w:rPr>
      <w:rFonts w:ascii="Calibri" w:eastAsia="Times New Roman" w:hAnsi="Calibri" w:cs="Calibri"/>
      <w:b/>
      <w:noProof/>
      <w:color w:val="FF0000"/>
      <w:sz w:val="24"/>
      <w:szCs w:val="20"/>
      <w:lang w:eastAsia="en-AU"/>
    </w:rPr>
  </w:style>
  <w:style w:type="paragraph" w:customStyle="1" w:styleId="SecurityClassificationFooter">
    <w:name w:val="Security Classification Footer"/>
    <w:link w:val="SecurityClassificationFooterChar"/>
    <w:rsid w:val="008A1869"/>
    <w:pPr>
      <w:spacing w:before="60" w:after="60" w:line="240" w:lineRule="auto"/>
      <w:jc w:val="center"/>
    </w:pPr>
    <w:rPr>
      <w:rFonts w:ascii="Calibri" w:eastAsia="Times New Roman" w:hAnsi="Calibri" w:cs="Calibri"/>
      <w:b/>
      <w:noProof/>
      <w:color w:val="FF0000"/>
      <w:sz w:val="24"/>
      <w:szCs w:val="24"/>
      <w:lang w:eastAsia="en-AU"/>
    </w:rPr>
  </w:style>
  <w:style w:type="character" w:customStyle="1" w:styleId="SecurityClassificationFooterChar">
    <w:name w:val="Security Classification Footer Char"/>
    <w:basedOn w:val="DefaultParagraphFont"/>
    <w:link w:val="SecurityClassificationFooter"/>
    <w:rsid w:val="008A1869"/>
    <w:rPr>
      <w:rFonts w:ascii="Calibri" w:eastAsia="Times New Roman" w:hAnsi="Calibri" w:cs="Calibri"/>
      <w:b/>
      <w:noProof/>
      <w:color w:val="FF0000"/>
      <w:sz w:val="24"/>
      <w:szCs w:val="24"/>
      <w:lang w:eastAsia="en-AU"/>
    </w:rPr>
  </w:style>
  <w:style w:type="paragraph" w:customStyle="1" w:styleId="DLMSecurityHeader">
    <w:name w:val="DLM Security Header"/>
    <w:link w:val="DLMSecurityHeaderChar"/>
    <w:rsid w:val="008A1869"/>
    <w:pPr>
      <w:spacing w:before="60" w:after="240" w:line="240" w:lineRule="auto"/>
      <w:jc w:val="center"/>
    </w:pPr>
    <w:rPr>
      <w:rFonts w:ascii="Calibri" w:eastAsia="Times New Roman" w:hAnsi="Calibri" w:cs="Calibri"/>
      <w:b/>
      <w:noProof/>
      <w:color w:val="FF0000"/>
      <w:sz w:val="24"/>
      <w:szCs w:val="20"/>
      <w:lang w:eastAsia="en-AU"/>
    </w:rPr>
  </w:style>
  <w:style w:type="character" w:customStyle="1" w:styleId="DLMSecurityHeaderChar">
    <w:name w:val="DLM Security Header Char"/>
    <w:basedOn w:val="DefaultParagraphFont"/>
    <w:link w:val="DLMSecurityHeader"/>
    <w:rsid w:val="008A1869"/>
    <w:rPr>
      <w:rFonts w:ascii="Calibri" w:eastAsia="Times New Roman" w:hAnsi="Calibri" w:cs="Calibri"/>
      <w:b/>
      <w:noProof/>
      <w:color w:val="FF0000"/>
      <w:sz w:val="24"/>
      <w:szCs w:val="20"/>
      <w:lang w:eastAsia="en-AU"/>
    </w:rPr>
  </w:style>
  <w:style w:type="paragraph" w:customStyle="1" w:styleId="DLMSecurityFooter">
    <w:name w:val="DLM Security Footer"/>
    <w:link w:val="DLMSecurityFooterChar"/>
    <w:rsid w:val="008A1869"/>
    <w:pPr>
      <w:spacing w:before="240" w:after="60" w:line="240" w:lineRule="auto"/>
      <w:jc w:val="center"/>
    </w:pPr>
    <w:rPr>
      <w:rFonts w:ascii="Calibri" w:eastAsia="Times New Roman" w:hAnsi="Calibri" w:cs="Calibri"/>
      <w:b/>
      <w:noProof/>
      <w:color w:val="FF0000"/>
      <w:sz w:val="24"/>
      <w:szCs w:val="24"/>
      <w:lang w:eastAsia="en-AU"/>
    </w:rPr>
  </w:style>
  <w:style w:type="character" w:customStyle="1" w:styleId="DLMSecurityFooterChar">
    <w:name w:val="DLM Security Footer Char"/>
    <w:basedOn w:val="DefaultParagraphFont"/>
    <w:link w:val="DLMSecurityFooter"/>
    <w:rsid w:val="008A1869"/>
    <w:rPr>
      <w:rFonts w:ascii="Calibri" w:eastAsia="Times New Roman" w:hAnsi="Calibri" w:cs="Calibri"/>
      <w:b/>
      <w:noProof/>
      <w:color w:val="FF0000"/>
      <w:sz w:val="24"/>
      <w:szCs w:val="24"/>
      <w:lang w:eastAsia="en-AU"/>
    </w:rPr>
  </w:style>
  <w:style w:type="character" w:styleId="FollowedHyperlink">
    <w:name w:val="FollowedHyperlink"/>
    <w:basedOn w:val="DefaultParagraphFont"/>
    <w:semiHidden/>
    <w:unhideWhenUsed/>
    <w:rsid w:val="008A1869"/>
    <w:rPr>
      <w:color w:val="844D9E" w:themeColor="followedHyperlink"/>
      <w:u w:val="single"/>
    </w:rPr>
  </w:style>
  <w:style w:type="paragraph" w:styleId="Quote">
    <w:name w:val="Quote"/>
    <w:basedOn w:val="Normal"/>
    <w:next w:val="Normal"/>
    <w:link w:val="QuoteChar"/>
    <w:uiPriority w:val="29"/>
    <w:rsid w:val="00875AD4"/>
    <w:pPr>
      <w:keepLines/>
      <w:spacing w:before="240" w:after="240"/>
      <w:ind w:left="709" w:right="709"/>
      <w:jc w:val="center"/>
    </w:pPr>
    <w:rPr>
      <w:rFonts w:asciiTheme="minorHAnsi" w:hAnsiTheme="minorHAnsi"/>
      <w:i/>
      <w:iCs/>
      <w:color w:val="2C384A" w:themeColor="accent1"/>
    </w:rPr>
  </w:style>
  <w:style w:type="character" w:customStyle="1" w:styleId="QuoteChar">
    <w:name w:val="Quote Char"/>
    <w:basedOn w:val="DefaultParagraphFont"/>
    <w:link w:val="Quote"/>
    <w:uiPriority w:val="29"/>
    <w:rsid w:val="00875AD4"/>
    <w:rPr>
      <w:rFonts w:eastAsia="Times New Roman" w:cs="Times New Roman"/>
      <w:i/>
      <w:iCs/>
      <w:color w:val="2C384A" w:themeColor="accent1"/>
      <w:szCs w:val="20"/>
      <w:lang w:eastAsia="en-AU"/>
    </w:rPr>
  </w:style>
  <w:style w:type="character" w:styleId="UnresolvedMention">
    <w:name w:val="Unresolved Mention"/>
    <w:basedOn w:val="DefaultParagraphFont"/>
    <w:uiPriority w:val="99"/>
    <w:semiHidden/>
    <w:unhideWhenUsed/>
    <w:rsid w:val="008A1869"/>
    <w:rPr>
      <w:color w:val="605E5C"/>
      <w:shd w:val="clear" w:color="auto" w:fill="E1DFDD"/>
    </w:rPr>
  </w:style>
  <w:style w:type="character" w:customStyle="1" w:styleId="Heading7Char">
    <w:name w:val="Heading 7 Char"/>
    <w:basedOn w:val="DefaultParagraphFont"/>
    <w:link w:val="Heading7"/>
    <w:uiPriority w:val="9"/>
    <w:semiHidden/>
    <w:rsid w:val="008A1869"/>
    <w:rPr>
      <w:rFonts w:asciiTheme="majorHAnsi" w:eastAsiaTheme="majorEastAsia" w:hAnsiTheme="majorHAnsi" w:cstheme="majorBidi"/>
      <w:iCs/>
      <w:color w:val="161B24" w:themeColor="accent1" w:themeShade="7F"/>
      <w:kern w:val="18"/>
      <w:szCs w:val="20"/>
      <w:lang w:eastAsia="en-AU"/>
    </w:rPr>
  </w:style>
  <w:style w:type="paragraph" w:customStyle="1" w:styleId="Heading4Numbered">
    <w:name w:val="Heading 4 Numbered"/>
    <w:basedOn w:val="Heading4"/>
    <w:next w:val="Normal"/>
    <w:qFormat/>
    <w:rsid w:val="008A1869"/>
    <w:pPr>
      <w:numPr>
        <w:ilvl w:val="3"/>
        <w:numId w:val="49"/>
      </w:numPr>
    </w:pPr>
  </w:style>
  <w:style w:type="paragraph" w:customStyle="1" w:styleId="Heading5Numbered">
    <w:name w:val="Heading 5 Numbered"/>
    <w:basedOn w:val="Heading5"/>
    <w:next w:val="Normal"/>
    <w:unhideWhenUsed/>
    <w:rsid w:val="008A7C97"/>
    <w:pPr>
      <w:numPr>
        <w:ilvl w:val="4"/>
        <w:numId w:val="8"/>
      </w:numPr>
    </w:pPr>
  </w:style>
  <w:style w:type="paragraph" w:customStyle="1" w:styleId="Heading6Numbered">
    <w:name w:val="Heading 6 Numbered"/>
    <w:basedOn w:val="Heading6"/>
    <w:next w:val="Normal"/>
    <w:semiHidden/>
    <w:rsid w:val="008A7C97"/>
  </w:style>
  <w:style w:type="paragraph" w:customStyle="1" w:styleId="Heading7Numbered">
    <w:name w:val="Heading 7 Numbered"/>
    <w:basedOn w:val="Heading7"/>
    <w:next w:val="Normal"/>
    <w:semiHidden/>
    <w:rsid w:val="008A7C97"/>
  </w:style>
  <w:style w:type="paragraph" w:customStyle="1" w:styleId="TableTextBullet">
    <w:name w:val="Table Text Bullet"/>
    <w:basedOn w:val="TableTextLeft"/>
    <w:uiPriority w:val="1"/>
    <w:qFormat/>
    <w:rsid w:val="004A0DCB"/>
    <w:pPr>
      <w:numPr>
        <w:numId w:val="33"/>
      </w:numPr>
    </w:pPr>
  </w:style>
  <w:style w:type="paragraph" w:customStyle="1" w:styleId="TableTextDash">
    <w:name w:val="Table Text Dash"/>
    <w:basedOn w:val="TableTextLeft"/>
    <w:uiPriority w:val="1"/>
    <w:qFormat/>
    <w:rsid w:val="004A0DCB"/>
    <w:pPr>
      <w:numPr>
        <w:ilvl w:val="1"/>
        <w:numId w:val="33"/>
      </w:numPr>
    </w:pPr>
  </w:style>
  <w:style w:type="paragraph" w:customStyle="1" w:styleId="ChartTableFiguresectionline">
    <w:name w:val="Chart Table Figure section line"/>
    <w:basedOn w:val="Normal"/>
    <w:qFormat/>
    <w:rsid w:val="008A1869"/>
    <w:pPr>
      <w:widowControl w:val="0"/>
      <w:pBdr>
        <w:bottom w:val="single" w:sz="12" w:space="0" w:color="2C384A" w:themeColor="accent1"/>
      </w:pBdr>
      <w:spacing w:before="60" w:after="360"/>
      <w:jc w:val="center"/>
    </w:pPr>
    <w:rPr>
      <w:rFonts w:ascii="Calibri Light" w:hAnsi="Calibri Light"/>
      <w:color w:val="FFFFFF" w:themeColor="background1"/>
      <w:kern w:val="16"/>
      <w:sz w:val="2"/>
    </w:rPr>
  </w:style>
  <w:style w:type="paragraph" w:styleId="CommentSubject">
    <w:name w:val="annotation subject"/>
    <w:basedOn w:val="CommentText"/>
    <w:next w:val="CommentText"/>
    <w:link w:val="CommentSubjectChar"/>
    <w:uiPriority w:val="99"/>
    <w:semiHidden/>
    <w:unhideWhenUsed/>
    <w:rsid w:val="004A775E"/>
    <w:rPr>
      <w:rFonts w:ascii="Calibri Light" w:hAnsi="Calibri Light"/>
      <w:b/>
      <w:bCs/>
    </w:rPr>
  </w:style>
  <w:style w:type="character" w:customStyle="1" w:styleId="CommentSubjectChar">
    <w:name w:val="Comment Subject Char"/>
    <w:basedOn w:val="CommentTextChar"/>
    <w:link w:val="CommentSubject"/>
    <w:uiPriority w:val="99"/>
    <w:semiHidden/>
    <w:rsid w:val="004A775E"/>
    <w:rPr>
      <w:rFonts w:ascii="Calibri Light" w:eastAsia="Times New Roman" w:hAnsi="Calibri Light" w:cs="Times New Roman"/>
      <w:b/>
      <w:bCs/>
      <w:sz w:val="20"/>
      <w:szCs w:val="20"/>
      <w:lang w:eastAsia="en-AU"/>
    </w:rPr>
  </w:style>
  <w:style w:type="character" w:styleId="Strong">
    <w:name w:val="Strong"/>
    <w:basedOn w:val="DefaultParagraphFont"/>
    <w:qFormat/>
    <w:rsid w:val="00F41FDE"/>
    <w:rPr>
      <w:b/>
      <w:bCs/>
    </w:rPr>
  </w:style>
  <w:style w:type="paragraph" w:customStyle="1" w:styleId="FigureMainHeading">
    <w:name w:val="Figure Main Heading"/>
    <w:basedOn w:val="ChartMainHeading"/>
    <w:next w:val="ChartGraphic"/>
    <w:qFormat/>
    <w:rsid w:val="008A1869"/>
    <w:pPr>
      <w:numPr>
        <w:ilvl w:val="7"/>
      </w:numPr>
    </w:pPr>
  </w:style>
  <w:style w:type="paragraph" w:customStyle="1" w:styleId="FigureSecondHeading">
    <w:name w:val="Figure Second Heading"/>
    <w:basedOn w:val="ChartGraphic"/>
    <w:qFormat/>
    <w:rsid w:val="008A1869"/>
    <w:pPr>
      <w:spacing w:after="60"/>
      <w:jc w:val="left"/>
    </w:pPr>
    <w:rPr>
      <w:rFonts w:asciiTheme="minorHAnsi" w:hAnsiTheme="minorHAnsi"/>
      <w:color w:val="5D779D" w:themeColor="accent3"/>
      <w:sz w:val="24"/>
    </w:rPr>
  </w:style>
  <w:style w:type="paragraph" w:customStyle="1" w:styleId="BoxHeadingPolicy">
    <w:name w:val="Box Heading Policy"/>
    <w:basedOn w:val="BoxHeading"/>
    <w:qFormat/>
    <w:rsid w:val="007479BE"/>
    <w:pPr>
      <w:numPr>
        <w:numId w:val="37"/>
      </w:numPr>
      <w:ind w:left="2268" w:hanging="2268"/>
    </w:pPr>
    <w:rPr>
      <w:bCs/>
    </w:rPr>
  </w:style>
  <w:style w:type="paragraph" w:customStyle="1" w:styleId="BoxHeading">
    <w:name w:val="Box Heading"/>
    <w:basedOn w:val="Normal"/>
    <w:next w:val="Normal"/>
    <w:qFormat/>
    <w:rsid w:val="008A1869"/>
    <w:pPr>
      <w:keepNext/>
      <w:spacing w:before="0"/>
    </w:pPr>
    <w:rPr>
      <w:b/>
      <w:color w:val="2C384A" w:themeColor="accent1"/>
      <w:sz w:val="26"/>
      <w:szCs w:val="26"/>
    </w:rPr>
  </w:style>
  <w:style w:type="paragraph" w:customStyle="1" w:styleId="BoxSubheading">
    <w:name w:val="Box Subheading"/>
    <w:basedOn w:val="BoxHeading"/>
    <w:qFormat/>
    <w:rsid w:val="00F15A4D"/>
    <w:rPr>
      <w:rFonts w:asciiTheme="minorHAnsi" w:hAnsiTheme="minorHAnsi"/>
      <w:b w:val="0"/>
      <w:sz w:val="22"/>
    </w:rPr>
  </w:style>
  <w:style w:type="character" w:customStyle="1" w:styleId="OutlineNumbered1Char">
    <w:name w:val="Outline Numbered 1 Char"/>
    <w:basedOn w:val="DefaultParagraphFont"/>
    <w:link w:val="OutlineNumbered1"/>
    <w:rsid w:val="008A1869"/>
    <w:rPr>
      <w:rFonts w:eastAsia="Times New Roman" w:cs="Times New Roman"/>
      <w:kern w:val="16"/>
      <w:szCs w:val="20"/>
      <w:lang w:eastAsia="en-AU"/>
    </w:rPr>
  </w:style>
  <w:style w:type="paragraph" w:styleId="Caption">
    <w:name w:val="caption"/>
    <w:basedOn w:val="Normal"/>
    <w:next w:val="Normal"/>
    <w:uiPriority w:val="35"/>
    <w:unhideWhenUsed/>
    <w:qFormat/>
    <w:rsid w:val="003C5318"/>
    <w:pPr>
      <w:spacing w:before="0" w:after="200"/>
    </w:pPr>
    <w:rPr>
      <w:rFonts w:asciiTheme="minorHAnsi" w:eastAsiaTheme="minorHAnsi" w:hAnsiTheme="minorHAnsi" w:cstheme="minorBidi"/>
      <w:i/>
      <w:iCs/>
      <w:color w:val="5F5F5F" w:themeColor="text2"/>
      <w:sz w:val="18"/>
      <w:szCs w:val="18"/>
      <w:lang w:eastAsia="en-US"/>
    </w:rPr>
  </w:style>
  <w:style w:type="paragraph" w:styleId="Revision">
    <w:name w:val="Revision"/>
    <w:hidden/>
    <w:uiPriority w:val="99"/>
    <w:semiHidden/>
    <w:rsid w:val="008A1869"/>
    <w:pPr>
      <w:spacing w:after="0" w:line="240" w:lineRule="auto"/>
    </w:pPr>
    <w:rPr>
      <w:rFonts w:ascii="Calibri Light" w:hAnsi="Calibri Light" w:cs="Times New Roman"/>
      <w:color w:val="0D0D0D" w:themeColor="text1" w:themeTint="F2"/>
      <w:szCs w:val="20"/>
    </w:rPr>
  </w:style>
  <w:style w:type="character" w:styleId="Mention">
    <w:name w:val="Mention"/>
    <w:basedOn w:val="DefaultParagraphFont"/>
    <w:uiPriority w:val="99"/>
    <w:unhideWhenUsed/>
    <w:rsid w:val="00F92D75"/>
    <w:rPr>
      <w:color w:val="2B579A"/>
      <w:shd w:val="clear" w:color="auto" w:fill="E1DFDD"/>
    </w:rPr>
  </w:style>
  <w:style w:type="paragraph" w:styleId="NormalWeb">
    <w:name w:val="Normal (Web)"/>
    <w:basedOn w:val="Normal"/>
    <w:rsid w:val="008A1869"/>
    <w:pPr>
      <w:spacing w:before="100" w:beforeAutospacing="1" w:after="100" w:afterAutospacing="1"/>
    </w:pPr>
  </w:style>
  <w:style w:type="character" w:styleId="Emphasis">
    <w:name w:val="Emphasis"/>
    <w:basedOn w:val="DefaultParagraphFont"/>
    <w:rsid w:val="00C94AD1"/>
    <w:rPr>
      <w:i/>
      <w:iCs/>
    </w:rPr>
  </w:style>
  <w:style w:type="character" w:customStyle="1" w:styleId="Heading8Char">
    <w:name w:val="Heading 8 Char"/>
    <w:basedOn w:val="DefaultParagraphFont"/>
    <w:link w:val="Heading8"/>
    <w:uiPriority w:val="9"/>
    <w:rsid w:val="008A1869"/>
    <w:rPr>
      <w:rFonts w:asciiTheme="majorHAnsi" w:eastAsiaTheme="majorEastAsia" w:hAnsiTheme="majorHAnsi" w:cstheme="majorBidi"/>
      <w:color w:val="272727" w:themeColor="text1" w:themeTint="D8"/>
      <w:kern w:val="18"/>
      <w:sz w:val="21"/>
      <w:szCs w:val="21"/>
      <w:lang w:eastAsia="en-AU"/>
    </w:rPr>
  </w:style>
  <w:style w:type="character" w:customStyle="1" w:styleId="Heading9Char">
    <w:name w:val="Heading 9 Char"/>
    <w:basedOn w:val="DefaultParagraphFont"/>
    <w:link w:val="Heading9"/>
    <w:uiPriority w:val="9"/>
    <w:rsid w:val="008A1869"/>
    <w:rPr>
      <w:rFonts w:asciiTheme="majorHAnsi" w:eastAsiaTheme="majorEastAsia" w:hAnsiTheme="majorHAnsi" w:cstheme="majorBidi"/>
      <w:iCs/>
      <w:color w:val="272727" w:themeColor="text1" w:themeTint="D8"/>
      <w:kern w:val="18"/>
      <w:sz w:val="21"/>
      <w:szCs w:val="21"/>
      <w:lang w:eastAsia="en-AU"/>
    </w:rPr>
  </w:style>
  <w:style w:type="paragraph" w:customStyle="1" w:styleId="Reporttitle">
    <w:name w:val="Report title"/>
    <w:basedOn w:val="Normal"/>
    <w:qFormat/>
    <w:rsid w:val="008A1869"/>
    <w:pPr>
      <w:spacing w:before="960" w:after="240"/>
      <w:outlineLvl w:val="0"/>
    </w:pPr>
    <w:rPr>
      <w:b/>
      <w:color w:val="2C384A" w:themeColor="accent1"/>
      <w:spacing w:val="-14"/>
      <w:sz w:val="44"/>
      <w:szCs w:val="68"/>
    </w:rPr>
  </w:style>
  <w:style w:type="table" w:customStyle="1" w:styleId="TableGrid1">
    <w:name w:val="Table Grid1"/>
    <w:basedOn w:val="TableNormal"/>
    <w:next w:val="TableGrid"/>
    <w:uiPriority w:val="59"/>
    <w:rsid w:val="008A1869"/>
    <w:pPr>
      <w:spacing w:after="0" w:line="240" w:lineRule="auto"/>
    </w:pPr>
    <w:rPr>
      <w:rFonts w:ascii="Calibri" w:hAnsi="Calibri" w:cs="Times New Roman"/>
      <w:sz w:val="20"/>
      <w:szCs w:val="20"/>
    </w:rPr>
    <w:tblPr>
      <w:tblBorders>
        <w:top w:val="single" w:sz="2" w:space="0" w:color="2E74B5"/>
        <w:left w:val="single" w:sz="2" w:space="0" w:color="2E74B5"/>
        <w:bottom w:val="single" w:sz="2" w:space="0" w:color="2E74B5"/>
        <w:right w:val="single" w:sz="2" w:space="0" w:color="2E74B5"/>
        <w:insideH w:val="single" w:sz="2" w:space="0" w:color="2E74B5"/>
        <w:insideV w:val="single" w:sz="2" w:space="0" w:color="2E74B5"/>
      </w:tblBorders>
    </w:tblPr>
    <w:tblStylePr w:type="firstRow">
      <w:rPr>
        <w:rFonts w:ascii="Calibri" w:hAnsi="Calibri"/>
        <w:b/>
        <w:i w:val="0"/>
        <w:color w:val="FFFFFF"/>
        <w:sz w:val="20"/>
      </w:rPr>
      <w:tblPr/>
      <w:tcPr>
        <w:shd w:val="clear" w:color="auto" w:fill="2E74B5"/>
      </w:tcPr>
    </w:tblStylePr>
  </w:style>
  <w:style w:type="paragraph" w:customStyle="1" w:styleId="Introtext">
    <w:name w:val="Intro text"/>
    <w:basedOn w:val="Normal"/>
    <w:qFormat/>
    <w:rsid w:val="008A1869"/>
    <w:pPr>
      <w:numPr>
        <w:ilvl w:val="1"/>
      </w:numPr>
      <w:spacing w:after="240"/>
    </w:pPr>
    <w:rPr>
      <w:rFonts w:eastAsiaTheme="minorEastAsia" w:cstheme="minorBidi"/>
      <w:color w:val="10263B"/>
      <w:sz w:val="26"/>
      <w:szCs w:val="26"/>
      <w:lang w:eastAsia="zh-CN"/>
    </w:rPr>
  </w:style>
  <w:style w:type="paragraph" w:styleId="NoSpacing">
    <w:name w:val="No Spacing"/>
    <w:link w:val="NoSpacingChar"/>
    <w:uiPriority w:val="1"/>
    <w:qFormat/>
    <w:rsid w:val="008A1869"/>
    <w:pPr>
      <w:spacing w:after="0" w:line="240" w:lineRule="auto"/>
    </w:pPr>
    <w:rPr>
      <w:rFonts w:eastAsiaTheme="minorEastAsia"/>
      <w:lang w:val="en-US"/>
    </w:rPr>
  </w:style>
  <w:style w:type="paragraph" w:customStyle="1" w:styleId="Default">
    <w:name w:val="Default"/>
    <w:rsid w:val="008A1869"/>
    <w:pPr>
      <w:autoSpaceDE w:val="0"/>
      <w:autoSpaceDN w:val="0"/>
      <w:adjustRightInd w:val="0"/>
      <w:spacing w:after="0" w:line="240" w:lineRule="auto"/>
    </w:pPr>
    <w:rPr>
      <w:rFonts w:ascii="Verdana" w:eastAsia="Times New Roman" w:hAnsi="Verdana" w:cs="Verdana"/>
      <w:color w:val="000000"/>
      <w:sz w:val="24"/>
      <w:szCs w:val="24"/>
      <w:lang w:eastAsia="en-AU"/>
    </w:rPr>
  </w:style>
  <w:style w:type="table" w:customStyle="1" w:styleId="GridTable5Dark-Accent61">
    <w:name w:val="Grid Table 5 Dark - Accent 61"/>
    <w:basedOn w:val="TableNormal"/>
    <w:uiPriority w:val="50"/>
    <w:rsid w:val="008A1869"/>
    <w:pPr>
      <w:spacing w:before="100" w:after="0" w:line="240" w:lineRule="auto"/>
    </w:pPr>
    <w:rPr>
      <w:rFonts w:eastAsiaTheme="minorEastAsia"/>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customStyle="1" w:styleId="KeyContactsName">
    <w:name w:val="KeyContacts Name"/>
    <w:basedOn w:val="Normal"/>
    <w:next w:val="Normal"/>
    <w:semiHidden/>
    <w:rsid w:val="008A1869"/>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240" w:after="0" w:afterAutospacing="1" w:line="264" w:lineRule="auto"/>
    </w:pPr>
    <w:rPr>
      <w:rFonts w:ascii="Univers 45 Light" w:hAnsi="Univers 45 Light"/>
      <w:b/>
      <w:color w:val="0C2D83"/>
      <w:sz w:val="18"/>
      <w:szCs w:val="24"/>
      <w:lang w:val="en-GB"/>
    </w:rPr>
  </w:style>
  <w:style w:type="character" w:customStyle="1" w:styleId="ListParagraphChar">
    <w:name w:val="List Paragraph Char"/>
    <w:basedOn w:val="DefaultParagraphFont"/>
    <w:link w:val="ListParagraph"/>
    <w:uiPriority w:val="34"/>
    <w:rsid w:val="008A1869"/>
    <w:rPr>
      <w:rFonts w:ascii="Calibri" w:eastAsia="Times New Roman" w:hAnsi="Calibri" w:cs="Times New Roman"/>
      <w:kern w:val="18"/>
      <w:szCs w:val="20"/>
      <w:lang w:eastAsia="en-AU"/>
    </w:rPr>
  </w:style>
  <w:style w:type="table" w:customStyle="1" w:styleId="ListTable4-Accent61">
    <w:name w:val="List Table 4 - Accent 61"/>
    <w:basedOn w:val="TableNormal"/>
    <w:uiPriority w:val="49"/>
    <w:rsid w:val="008A1869"/>
    <w:pPr>
      <w:spacing w:before="100" w:after="0" w:line="240" w:lineRule="auto"/>
    </w:pPr>
    <w:rPr>
      <w:rFonts w:eastAsiaTheme="minorEastAsia"/>
      <w:sz w:val="20"/>
      <w:szCs w:val="20"/>
      <w:lang w:eastAsia="en-AU"/>
    </w:rPr>
    <w:tblPr>
      <w:tblStyleRowBandSize w:val="1"/>
      <w:tblStyleColBandSize w:val="1"/>
      <w:tblBorders>
        <w:top w:val="single" w:sz="4" w:space="0" w:color="F6CEB3" w:themeColor="accent6" w:themeTint="99"/>
        <w:left w:val="single" w:sz="4" w:space="0" w:color="F6CEB3" w:themeColor="accent6" w:themeTint="99"/>
        <w:bottom w:val="single" w:sz="4" w:space="0" w:color="F6CEB3" w:themeColor="accent6" w:themeTint="99"/>
        <w:right w:val="single" w:sz="4" w:space="0" w:color="F6CEB3" w:themeColor="accent6" w:themeTint="99"/>
        <w:insideH w:val="single" w:sz="4" w:space="0" w:color="F6CEB3" w:themeColor="accent6" w:themeTint="99"/>
      </w:tblBorders>
    </w:tblPr>
    <w:tblStylePr w:type="firstRow">
      <w:rPr>
        <w:b/>
        <w:bCs/>
        <w:color w:val="FFFFFF" w:themeColor="background1"/>
      </w:rPr>
      <w:tblPr/>
      <w:tcPr>
        <w:tcBorders>
          <w:top w:val="single" w:sz="4" w:space="0" w:color="F0AE81" w:themeColor="accent6"/>
          <w:left w:val="single" w:sz="4" w:space="0" w:color="F0AE81" w:themeColor="accent6"/>
          <w:bottom w:val="single" w:sz="4" w:space="0" w:color="F0AE81" w:themeColor="accent6"/>
          <w:right w:val="single" w:sz="4" w:space="0" w:color="F0AE81" w:themeColor="accent6"/>
          <w:insideH w:val="nil"/>
        </w:tcBorders>
        <w:shd w:val="clear" w:color="auto" w:fill="F0AE81" w:themeFill="accent6"/>
      </w:tcPr>
    </w:tblStylePr>
    <w:tblStylePr w:type="lastRow">
      <w:rPr>
        <w:b/>
        <w:bCs/>
      </w:rPr>
      <w:tblPr/>
      <w:tcPr>
        <w:tcBorders>
          <w:top w:val="double" w:sz="4" w:space="0" w:color="F6CEB3" w:themeColor="accent6" w:themeTint="99"/>
        </w:tcBorders>
      </w:tcPr>
    </w:tblStylePr>
    <w:tblStylePr w:type="firstCol">
      <w:rPr>
        <w:b/>
        <w:bCs/>
      </w:rPr>
    </w:tblStylePr>
    <w:tblStylePr w:type="lastCol">
      <w:rPr>
        <w:b/>
        <w:bCs/>
      </w:rPr>
    </w:tblStylePr>
    <w:tblStylePr w:type="band1Vert">
      <w:tblPr/>
      <w:tcPr>
        <w:shd w:val="clear" w:color="auto" w:fill="FCEEE5" w:themeFill="accent6" w:themeFillTint="33"/>
      </w:tcPr>
    </w:tblStylePr>
    <w:tblStylePr w:type="band1Horz">
      <w:tblPr/>
      <w:tcPr>
        <w:shd w:val="clear" w:color="auto" w:fill="FCEEE5" w:themeFill="accent6" w:themeFillTint="33"/>
      </w:tcPr>
    </w:tblStylePr>
  </w:style>
  <w:style w:type="character" w:customStyle="1" w:styleId="NoSpacingChar">
    <w:name w:val="No Spacing Char"/>
    <w:basedOn w:val="DefaultParagraphFont"/>
    <w:link w:val="NoSpacing"/>
    <w:uiPriority w:val="1"/>
    <w:rsid w:val="008A1869"/>
    <w:rPr>
      <w:rFonts w:eastAsiaTheme="minorEastAsia"/>
      <w:lang w:val="en-US"/>
    </w:rPr>
  </w:style>
  <w:style w:type="character" w:styleId="PageNumber">
    <w:name w:val="page number"/>
    <w:basedOn w:val="DefaultParagraphFont"/>
    <w:rsid w:val="008A1869"/>
  </w:style>
  <w:style w:type="numbering" w:customStyle="1" w:styleId="StyleBulletedSymbolsymbol11ptLeft4cmHanging05">
    <w:name w:val="Style Bulleted Symbol (symbol) 11 pt Left:  4 cm Hanging:  0.5 ..."/>
    <w:basedOn w:val="NoList"/>
    <w:rsid w:val="008A1869"/>
    <w:pPr>
      <w:numPr>
        <w:numId w:val="41"/>
      </w:numPr>
    </w:pPr>
  </w:style>
  <w:style w:type="numbering" w:customStyle="1" w:styleId="StyleBulletedSymbolsymbol11ptLeft4cmHanging051">
    <w:name w:val="Style Bulleted Symbol (symbol) 11 pt Left:  4 cm Hanging:  0.5 ...1"/>
    <w:basedOn w:val="NoList"/>
    <w:rsid w:val="008A1869"/>
    <w:pPr>
      <w:numPr>
        <w:numId w:val="42"/>
      </w:numPr>
    </w:pPr>
  </w:style>
  <w:style w:type="paragraph" w:customStyle="1" w:styleId="Tableheading">
    <w:name w:val="Table heading"/>
    <w:basedOn w:val="Normal"/>
    <w:rsid w:val="008A1869"/>
    <w:pPr>
      <w:keepLines/>
      <w:jc w:val="center"/>
    </w:pPr>
    <w:rPr>
      <w:b/>
    </w:rPr>
  </w:style>
  <w:style w:type="paragraph" w:customStyle="1" w:styleId="TableText">
    <w:name w:val="Table Text"/>
    <w:basedOn w:val="Normal"/>
    <w:rsid w:val="008A1869"/>
    <w:pPr>
      <w:spacing w:before="100" w:line="264" w:lineRule="auto"/>
    </w:pPr>
    <w:rPr>
      <w:rFonts w:eastAsia="Batang" w:cstheme="minorBidi"/>
      <w:sz w:val="24"/>
    </w:rPr>
  </w:style>
  <w:style w:type="paragraph" w:customStyle="1" w:styleId="Tabletext0">
    <w:name w:val="Table text"/>
    <w:basedOn w:val="Normal"/>
    <w:link w:val="TabletextChar"/>
    <w:rsid w:val="008A1869"/>
    <w:pPr>
      <w:spacing w:before="80" w:after="80"/>
    </w:pPr>
    <w:rPr>
      <w:rFonts w:ascii="Univers 45 Light" w:hAnsi="Univers 45 Light"/>
      <w:sz w:val="19"/>
    </w:rPr>
  </w:style>
  <w:style w:type="character" w:customStyle="1" w:styleId="TabletextChar">
    <w:name w:val="Table text Char"/>
    <w:basedOn w:val="DefaultParagraphFont"/>
    <w:link w:val="Tabletext0"/>
    <w:rsid w:val="008A1869"/>
    <w:rPr>
      <w:rFonts w:ascii="Univers 45 Light" w:eastAsia="Times New Roman" w:hAnsi="Univers 45 Light" w:cs="Times New Roman"/>
      <w:kern w:val="18"/>
      <w:sz w:val="19"/>
      <w:szCs w:val="20"/>
      <w:lang w:eastAsia="en-AU"/>
    </w:rPr>
  </w:style>
  <w:style w:type="paragraph" w:customStyle="1" w:styleId="Chart">
    <w:name w:val="Chart"/>
    <w:basedOn w:val="Normal"/>
    <w:qFormat/>
    <w:rsid w:val="008A1869"/>
    <w:pPr>
      <w:keepNext/>
      <w:jc w:val="center"/>
    </w:pPr>
    <w:rPr>
      <w:noProof/>
      <w:sz w:val="20"/>
    </w:rPr>
  </w:style>
  <w:style w:type="paragraph" w:customStyle="1" w:styleId="Charttitle">
    <w:name w:val="Chart title"/>
    <w:basedOn w:val="Normal"/>
    <w:qFormat/>
    <w:rsid w:val="008A1869"/>
    <w:pPr>
      <w:keepNext/>
      <w:spacing w:before="240"/>
      <w:jc w:val="center"/>
    </w:pPr>
    <w:rPr>
      <w:rFonts w:eastAsiaTheme="minorHAnsi"/>
      <w:b/>
      <w:lang w:eastAsia="en-US"/>
    </w:rPr>
  </w:style>
  <w:style w:type="paragraph" w:customStyle="1" w:styleId="Chartsource">
    <w:name w:val="Chart source"/>
    <w:basedOn w:val="Normal"/>
    <w:qFormat/>
    <w:rsid w:val="008A1869"/>
    <w:pPr>
      <w:keepNext/>
      <w:spacing w:before="0" w:after="0"/>
    </w:pPr>
    <w:rPr>
      <w:sz w:val="16"/>
    </w:rPr>
  </w:style>
  <w:style w:type="character" w:styleId="SubtleReference">
    <w:name w:val="Subtle Reference"/>
    <w:basedOn w:val="DefaultParagraphFont"/>
    <w:uiPriority w:val="31"/>
    <w:rsid w:val="008A1869"/>
    <w:rPr>
      <w:smallCaps/>
      <w:color w:val="5A5A5A" w:themeColor="text1" w:themeTint="A5"/>
    </w:rPr>
  </w:style>
  <w:style w:type="paragraph" w:customStyle="1" w:styleId="Editorname">
    <w:name w:val="Editor name"/>
    <w:qFormat/>
    <w:rsid w:val="008A1869"/>
    <w:pPr>
      <w:spacing w:after="0" w:line="240" w:lineRule="auto"/>
    </w:pPr>
    <w:rPr>
      <w:rFonts w:ascii="Calibri Light" w:eastAsiaTheme="majorEastAsia" w:hAnsi="Calibri Light" w:cstheme="majorBidi"/>
      <w:iCs/>
      <w:color w:val="2C384A" w:themeColor="accent1"/>
      <w:sz w:val="28"/>
      <w:szCs w:val="44"/>
      <w:lang w:eastAsia="en-AU"/>
    </w:rPr>
  </w:style>
  <w:style w:type="paragraph" w:customStyle="1" w:styleId="Authornameunderlined">
    <w:name w:val="Author name (underlined)"/>
    <w:basedOn w:val="Normal"/>
    <w:qFormat/>
    <w:rsid w:val="008A1869"/>
    <w:pPr>
      <w:pBdr>
        <w:bottom w:val="single" w:sz="4" w:space="7" w:color="D9D9D9" w:themeColor="background1" w:themeShade="D9"/>
      </w:pBdr>
      <w:spacing w:before="0" w:after="240"/>
      <w:contextualSpacing/>
    </w:pPr>
    <w:rPr>
      <w:rFonts w:asciiTheme="majorHAnsi" w:hAnsiTheme="majorHAnsi" w:cstheme="majorHAnsi"/>
    </w:rPr>
  </w:style>
  <w:style w:type="paragraph" w:styleId="TOCHeading">
    <w:name w:val="TOC Heading"/>
    <w:basedOn w:val="Heading1"/>
    <w:next w:val="Normal"/>
    <w:uiPriority w:val="39"/>
    <w:unhideWhenUsed/>
    <w:qFormat/>
    <w:rsid w:val="00636B95"/>
    <w:pPr>
      <w:keepLines/>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paragraph" w:customStyle="1" w:styleId="ChartTableFigureNoteorSource">
    <w:name w:val="Chart Table Figure Note or Source"/>
    <w:next w:val="Normal"/>
    <w:rsid w:val="008A1869"/>
    <w:pPr>
      <w:spacing w:before="60" w:after="0" w:line="240" w:lineRule="auto"/>
      <w:ind w:left="709" w:hanging="709"/>
    </w:pPr>
    <w:rPr>
      <w:rFonts w:ascii="Calibri" w:eastAsia="Times New Roman" w:hAnsi="Calibri" w:cs="Times New Roman"/>
      <w:color w:val="000000"/>
      <w:sz w:val="18"/>
      <w:szCs w:val="20"/>
      <w:lang w:eastAsia="en-AU"/>
    </w:rPr>
  </w:style>
  <w:style w:type="character" w:customStyle="1" w:styleId="OutlineNumbered2Char">
    <w:name w:val="Outline Numbered 2 Char"/>
    <w:basedOn w:val="DefaultParagraphFont"/>
    <w:link w:val="OutlineNumbered2"/>
    <w:rsid w:val="008A1869"/>
    <w:rPr>
      <w:rFonts w:ascii="Calibri Light" w:eastAsia="Times New Roman" w:hAnsi="Calibri Light" w:cs="Times New Roman"/>
      <w:color w:val="004A7F"/>
      <w:kern w:val="16"/>
      <w:sz w:val="20"/>
      <w:szCs w:val="20"/>
      <w:lang w:eastAsia="en-AU"/>
    </w:rPr>
  </w:style>
  <w:style w:type="character" w:customStyle="1" w:styleId="OutlineNumbered3Char">
    <w:name w:val="Outline Numbered 3 Char"/>
    <w:basedOn w:val="DefaultParagraphFont"/>
    <w:link w:val="OutlineNumbered3"/>
    <w:rsid w:val="008A1869"/>
    <w:rPr>
      <w:rFonts w:ascii="Calibri Light" w:eastAsia="Times New Roman" w:hAnsi="Calibri Light" w:cs="Times New Roman"/>
      <w:color w:val="004A7F"/>
      <w:kern w:val="16"/>
      <w:sz w:val="20"/>
      <w:szCs w:val="20"/>
      <w:lang w:eastAsia="en-AU"/>
    </w:rPr>
  </w:style>
  <w:style w:type="paragraph" w:styleId="Index3">
    <w:name w:val="index 3"/>
    <w:basedOn w:val="Normal"/>
    <w:next w:val="Normal"/>
    <w:autoRedefine/>
    <w:uiPriority w:val="99"/>
    <w:unhideWhenUsed/>
    <w:rsid w:val="008A1869"/>
    <w:pPr>
      <w:spacing w:before="0" w:after="0"/>
      <w:ind w:left="66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8331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5.sv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3.sv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2.xml"/><Relationship Id="rId36" Type="http://schemas.openxmlformats.org/officeDocument/2006/relationships/image" Target="media/image27.svg"/><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footer" Target="footer1.xml"/><Relationship Id="rId30" Type="http://schemas.openxmlformats.org/officeDocument/2006/relationships/image" Target="media/image21.svg"/><Relationship Id="rId35" Type="http://schemas.openxmlformats.org/officeDocument/2006/relationships/image" Target="media/image26.png"/><Relationship Id="rId8" Type="http://schemas.openxmlformats.org/officeDocument/2006/relationships/hyperlink" Target="https://www.abs.gov.au/statistics/economy/business-indicators/business-conditions-and-sentiments/latest-release"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www.abc.net.au/news/rural/2020-11-28/clive-the-robot-fruit-picker-goulburn-valley/129284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2336</Words>
  <Characters>12647</Characters>
  <Application>Microsoft Office Word</Application>
  <DocSecurity>0</DocSecurity>
  <Lines>229</Lines>
  <Paragraphs>71</Paragraphs>
  <ScaleCrop>false</ScaleCrop>
  <HeadingPairs>
    <vt:vector size="2" baseType="variant">
      <vt:variant>
        <vt:lpstr>Title</vt:lpstr>
      </vt:variant>
      <vt:variant>
        <vt:i4>1</vt:i4>
      </vt:variant>
    </vt:vector>
  </HeadingPairs>
  <TitlesOfParts>
    <vt:vector size="1" baseType="lpstr">
      <vt:lpstr>Treasury Round Up March 2024</vt:lpstr>
    </vt:vector>
  </TitlesOfParts>
  <Company/>
  <LinksUpToDate>false</LinksUpToDate>
  <CharactersWithSpaces>14967</CharactersWithSpaces>
  <SharedDoc>false</SharedDoc>
  <HLinks>
    <vt:vector size="12" baseType="variant">
      <vt:variant>
        <vt:i4>2228257</vt:i4>
      </vt:variant>
      <vt:variant>
        <vt:i4>0</vt:i4>
      </vt:variant>
      <vt:variant>
        <vt:i4>0</vt:i4>
      </vt:variant>
      <vt:variant>
        <vt:i4>5</vt:i4>
      </vt:variant>
      <vt:variant>
        <vt:lpwstr>https://www.abs.gov.au/statistics/economy/business-indicators/business-conditions-and-sentiments/latest-release</vt:lpwstr>
      </vt:variant>
      <vt:variant>
        <vt:lpwstr/>
      </vt:variant>
      <vt:variant>
        <vt:i4>7929897</vt:i4>
      </vt:variant>
      <vt:variant>
        <vt:i4>0</vt:i4>
      </vt:variant>
      <vt:variant>
        <vt:i4>0</vt:i4>
      </vt:variant>
      <vt:variant>
        <vt:i4>5</vt:i4>
      </vt:variant>
      <vt:variant>
        <vt:lpwstr>https://www.abc.net.au/news/rural/2020-11-28/clive-the-robot-fruit-picker-goulburn-valley/12928460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 Round Up March 2024</dc:title>
  <dc:subject>Employment behaviour of firms reliant on temporary migrants</dc:subject>
  <dc:creator/>
  <cp:keywords/>
  <cp:lastModifiedBy/>
  <cp:revision>1</cp:revision>
  <dcterms:created xsi:type="dcterms:W3CDTF">2024-03-27T05:37:00Z</dcterms:created>
  <dcterms:modified xsi:type="dcterms:W3CDTF">2024-03-27T23:47:00Z</dcterms:modified>
</cp:coreProperties>
</file>